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68.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171.tiff" ContentType="image/tiff"/>
  <Override PartName="/word/media/rId174.tiff" ContentType="image/tiff"/>
  <Override PartName="/word/media/rId177.tiff" ContentType="image/tiff"/>
  <Override PartName="/word/media/rId180.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217.tiff" ContentType="image/tiff"/>
  <Override PartName="/word/media/rId46.tiff" ContentType="image/tiff"/>
  <Override PartName="/word/media/rId50.tiff" ContentType="image/tiff"/>
  <Override PartName="/word/media/rId41.tiff" ContentType="image/tiff"/>
  <Override PartName="/word/media/rId32.tiff" ContentType="image/tiff"/>
  <Override PartName="/word/media/rId3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effect of prenatal environment on brain metabolic function and perception in a 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thought to be a central mechanism underlying these effects. Here, we investigated the combined influence of prenatal corticosterone (CORT) — a key stress hormone in reptiles — and incubation temperature on mitochondrial function and prey detection in the delicate skink (</w:t>
      </w:r>
      <w:r>
        <w:rPr>
          <w:i/>
          <w:iCs/>
        </w:rPr>
        <w:t xml:space="preserve">Lampropholis delicata</w:t>
      </w:r>
      <w: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 — two brain regions involved in sensory processing. We predicted that CORT exposure and high temperatures would interact to shape perception of prey via changes in mitochondrial respiration and oxidative damage. While metabolic function remained robust to early life conditions, CORT and temperature interacted to influence oxidative stress in the optic tecta but not the olfactory bulbs. Additionally, CORT-treated lizards responded faster when presented with chemical cues but not visual stimuli. Our findings suggest that prenatal conditions can have lasting effects on brain physiology and cognition, though the role of mitochondrial function in these processes remains unclear. Future research should explore alternative mechanisms linking early-life stress, cell metabolism, and cognitive performance.</w:t>
      </w:r>
    </w:p>
    <w:bookmarkEnd w:id="20"/>
    <w:bookmarkStart w:id="21" w:name="introduction"/>
    <w:p>
      <w:pPr>
        <w:pStyle w:val="Heading2"/>
      </w:pPr>
      <w:r>
        <w:t xml:space="preserve">Introduction</w:t>
      </w:r>
    </w:p>
    <w:p>
      <w:pPr>
        <w:pStyle w:val="FirstParagraph"/>
      </w:pPr>
      <w:r>
        <w:t xml:space="preserve">Cognition encompasses the ways in which animals acquire, process, and store information, enabling perception, learning, memory, and decision-making</w:t>
      </w:r>
      <w:r>
        <w:t xml:space="preserve"> </w:t>
      </w:r>
      <w:r>
        <w:t xml:space="preserve">[</w:t>
      </w:r>
      <w:hyperlink w:anchor="ref-shettleworth">
        <w:r>
          <w:rPr>
            <w:rStyle w:val="Hyperlink"/>
          </w:rPr>
          <w:t xml:space="preserve">1</w:t>
        </w:r>
      </w:hyperlink>
      <w:r>
        <w:t xml:space="preserve">]</w:t>
      </w:r>
      <w:r>
        <w:t xml:space="preserve">. It is essential for survival and reproduction, allowing individuals to adapt to changing environments</w:t>
      </w:r>
      <w:r>
        <w:t xml:space="preserve"> </w:t>
      </w:r>
      <w:r>
        <w:t xml:space="preserve">[</w:t>
      </w:r>
      <w:hyperlink w:anchor="ref-dukas_evolutionary_2004">
        <w:r>
          <w:rPr>
            <w:rStyle w:val="Hyperlink"/>
          </w:rPr>
          <w:t xml:space="preserve">2</w:t>
        </w:r>
      </w:hyperlink>
      <w:r>
        <w:t xml:space="preserve">]</w:t>
      </w:r>
      <w:r>
        <w:t xml:space="preserve">. However, cognitive abilities can vary considerably between individuals, with differences arising from genetic factors, environmental conditions, or a combination of both</w:t>
      </w:r>
      <w:r>
        <w:t xml:space="preserve"> </w:t>
      </w:r>
      <w:r>
        <w:t xml:space="preserve">[</w:t>
      </w:r>
      <w:hyperlink w:anchor="ref-dukas_evolutionary_2004">
        <w:r>
          <w:rPr>
            <w:rStyle w:val="Hyperlink"/>
          </w:rPr>
          <w:t xml:space="preserve">2</w:t>
        </w:r>
      </w:hyperlink>
      <w:r>
        <w:t xml:space="preserve">,</w:t>
      </w:r>
      <w:hyperlink w:anchor="ref-sakata_neural_2000">
        <w:r>
          <w:rPr>
            <w:rStyle w:val="Hyperlink"/>
          </w:rPr>
          <w:t xml:space="preserve">3</w:t>
        </w:r>
      </w:hyperlink>
      <w:r>
        <w:t xml:space="preserve">]</w:t>
      </w:r>
      <w:r>
        <w:t xml:space="preserve">. The prenatal environment, in particular, plays a critical role in shaping brain development and cognition across a wide range of species</w:t>
      </w:r>
      <w:r>
        <w:t xml:space="preserve"> </w:t>
      </w:r>
      <w:r>
        <w:t xml:space="preserve">[</w:t>
      </w:r>
      <w:hyperlink w:anchor="ref-sakata_neural_2000">
        <w:r>
          <w:rPr>
            <w:rStyle w:val="Hyperlink"/>
          </w:rPr>
          <w:t xml:space="preserve">3</w:t>
        </w:r>
      </w:hyperlink>
      <w:r>
        <w:t xml:space="preserve">–</w:t>
      </w:r>
      <w:hyperlink w:anchor="ref-amiel_effects_2017">
        <w:r>
          <w:rPr>
            <w:rStyle w:val="Hyperlink"/>
          </w:rPr>
          <w:t xml:space="preserve">6</w:t>
        </w:r>
      </w:hyperlink>
      <w:r>
        <w:t xml:space="preserve">]</w:t>
      </w:r>
      <w:r>
        <w:t xml:space="preserve">. However, the impact of early-life environments has primarily been studied in the context of learning and memory</w:t>
      </w:r>
      <w:r>
        <w:t xml:space="preserve"> </w:t>
      </w:r>
      <w:r>
        <w:t xml:space="preserve">[</w:t>
      </w:r>
      <w:hyperlink w:anchor="ref-zhu_prenatal_2004">
        <w:r>
          <w:rPr>
            <w:rStyle w:val="Hyperlink"/>
          </w:rPr>
          <w:t xml:space="preserve">4</w:t>
        </w:r>
      </w:hyperlink>
      <w:r>
        <w:t xml:space="preserve">,</w:t>
      </w:r>
      <w:hyperlink w:anchor="ref-crino_corticosterone_2014-learn">
        <w:r>
          <w:rPr>
            <w:rStyle w:val="Hyperlink"/>
          </w:rPr>
          <w:t xml:space="preserve">5</w:t>
        </w:r>
      </w:hyperlink>
      <w:r>
        <w:t xml:space="preserve">,</w:t>
      </w:r>
      <w:hyperlink w:anchor="ref-bebus_associative_2016">
        <w:r>
          <w:rPr>
            <w:rStyle w:val="Hyperlink"/>
          </w:rPr>
          <w:t xml:space="preserve">7</w:t>
        </w:r>
      </w:hyperlink>
      <w:r>
        <w:t xml:space="preserve">,</w:t>
      </w:r>
      <w:hyperlink w:anchor="ref-abayarathna_effects_2020">
        <w:r>
          <w:rPr>
            <w:rStyle w:val="Hyperlink"/>
          </w:rPr>
          <w:t xml:space="preserve">8</w:t>
        </w:r>
      </w:hyperlink>
      <w:r>
        <w:t xml:space="preserve">]</w:t>
      </w:r>
      <w:r>
        <w:t xml:space="preserve">, neglecting how other equally important cognitive domains might be affected</w:t>
      </w:r>
      <w:r>
        <w:t xml:space="preserve"> </w:t>
      </w:r>
      <w:r>
        <w:t xml:space="preserve">[but see</w:t>
      </w:r>
      <w:r>
        <w:t xml:space="preserve"> </w:t>
      </w:r>
      <w:hyperlink w:anchor="ref-burger_antipredator_1998">
        <w:r>
          <w:rPr>
            <w:rStyle w:val="Hyperlink"/>
          </w:rPr>
          <w:t xml:space="preserve">9</w:t>
        </w:r>
      </w:hyperlink>
      <w:r>
        <w:t xml:space="preserve">,</w:t>
      </w:r>
      <w:hyperlink w:anchor="ref-vila_pouca_quantity_2019">
        <w:r>
          <w:rPr>
            <w:rStyle w:val="Hyperlink"/>
          </w:rPr>
          <w:t xml:space="preserve">10</w:t>
        </w:r>
      </w:hyperlink>
      <w:r>
        <w:t xml:space="preserve">]</w:t>
      </w:r>
      <w:r>
        <w:t xml:space="preserve">. In particular, perception is an often overlooked, but fundamental skill</w:t>
      </w:r>
      <w:r>
        <w:t xml:space="preserve"> </w:t>
      </w:r>
      <w:r>
        <w:t xml:space="preserve">[</w:t>
      </w:r>
      <w:hyperlink w:anchor="ref-shettleworth">
        <w:r>
          <w:rPr>
            <w:rStyle w:val="Hyperlink"/>
          </w:rPr>
          <w:t xml:space="preserve">1</w:t>
        </w:r>
      </w:hyperlink>
      <w:r>
        <w:t xml:space="preserve">]</w:t>
      </w:r>
      <w:r>
        <w:t xml:space="preserve">. Perceiving different stimuli is essential for locating food, avoiding predators, or interacting with conspecifics</w:t>
      </w:r>
      <w:r>
        <w:t xml:space="preserve"> </w:t>
      </w:r>
      <w:r>
        <w:t xml:space="preserve">[</w:t>
      </w:r>
      <w:hyperlink w:anchor="ref-burger_antipredator_1998">
        <w:r>
          <w:rPr>
            <w:rStyle w:val="Hyperlink"/>
          </w:rPr>
          <w:t xml:space="preserve">9</w:t>
        </w:r>
      </w:hyperlink>
      <w:r>
        <w:t xml:space="preserve">,</w:t>
      </w:r>
      <w:hyperlink w:anchor="ref-desfilis2003stimulus">
        <w:r>
          <w:rPr>
            <w:rStyle w:val="Hyperlink"/>
          </w:rPr>
          <w:t xml:space="preserve">11</w:t>
        </w:r>
      </w:hyperlink>
      <w:r>
        <w:t xml:space="preserve">,</w:t>
      </w:r>
      <w:hyperlink w:anchor="ref-recio2023conspecific">
        <w:r>
          <w:rPr>
            <w:rStyle w:val="Hyperlink"/>
          </w:rPr>
          <w:t xml:space="preserve">12</w:t>
        </w:r>
      </w:hyperlink>
      <w:r>
        <w:t xml:space="preserve">]</w:t>
      </w:r>
      <w:r>
        <w:t xml:space="preserve">. Variations in the ability to detect or recognize relevant stimuli can have significant consequences for an individual’s fitness</w:t>
      </w:r>
      <w:r>
        <w:t xml:space="preserve"> </w:t>
      </w:r>
      <w:r>
        <w:t xml:space="preserve">[</w:t>
      </w:r>
      <w:hyperlink w:anchor="ref-pyke1984optimal">
        <w:r>
          <w:rPr>
            <w:rStyle w:val="Hyperlink"/>
          </w:rPr>
          <w:t xml:space="preserve">13</w:t>
        </w:r>
      </w:hyperlink>
      <w:r>
        <w:t xml:space="preserve">]</w:t>
      </w:r>
      <w:r>
        <w:t xml:space="preserve">. For example, visual acuity in the bluegill sunfish (</w:t>
      </w:r>
      <w:r>
        <w:rPr>
          <w:i/>
          <w:iCs/>
        </w:rPr>
        <w:t xml:space="preserve">Lepomis macrochirus</w:t>
      </w:r>
      <w:r>
        <w:t xml:space="preserve">) allow animals to detect prey at large distances, which can increase their foraging efficiency and energy intake</w:t>
      </w:r>
      <w:r>
        <w:t xml:space="preserve"> </w:t>
      </w:r>
      <w:r>
        <w:t xml:space="preserve">[</w:t>
      </w:r>
      <w:hyperlink w:anchor="ref-hairston1982fish">
        <w:r>
          <w:rPr>
            <w:rStyle w:val="Hyperlink"/>
          </w:rPr>
          <w:t xml:space="preserve">14</w:t>
        </w:r>
      </w:hyperlink>
      <w:r>
        <w:t xml:space="preserve">]</w:t>
      </w:r>
      <w:r>
        <w:t xml:space="preserve">. Therefore, understanding how prenatal conditions affect the ability to detect prey can be important to understanding the broader consequences of early-life environments on fitness.</w:t>
      </w:r>
    </w:p>
    <w:p>
      <w:pPr>
        <w:pStyle w:val="BodyText"/>
      </w:pPr>
      <w:r>
        <w:t xml:space="preserve">Prenatal environments influence cognitive abilities because the brain is particularly sensitive to environmental inputs during early stages of development</w:t>
      </w:r>
      <w:r>
        <w:t xml:space="preserve"> </w:t>
      </w:r>
      <w:r>
        <w:t xml:space="preserve">[</w:t>
      </w:r>
      <w:hyperlink w:anchor="ref-zhu_prenatal_2004">
        <w:r>
          <w:rPr>
            <w:rStyle w:val="Hyperlink"/>
          </w:rPr>
          <w:t xml:space="preserve">4</w:t>
        </w:r>
      </w:hyperlink>
      <w:r>
        <w:t xml:space="preserve">]</w:t>
      </w:r>
      <w:r>
        <w:t xml:space="preserve">. Early-life conditions can shape cognition by altering gene expression</w:t>
      </w:r>
      <w:r>
        <w:t xml:space="preserve"> </w:t>
      </w:r>
      <w:r>
        <w:t xml:space="preserve">[</w:t>
      </w:r>
      <w:hyperlink w:anchor="ref-zhou2020effects">
        <w:r>
          <w:rPr>
            <w:rStyle w:val="Hyperlink"/>
          </w:rPr>
          <w:t xml:space="preserve">15</w:t>
        </w:r>
      </w:hyperlink>
      <w:r>
        <w:t xml:space="preserve">]</w:t>
      </w:r>
      <w:r>
        <w:t xml:space="preserve">, neurotransmitter production</w:t>
      </w:r>
      <w:r>
        <w:t xml:space="preserve"> </w:t>
      </w:r>
      <w:r>
        <w:t xml:space="preserve">[</w:t>
      </w:r>
      <w:hyperlink w:anchor="ref-amani2021perinatal">
        <w:r>
          <w:rPr>
            <w:rStyle w:val="Hyperlink"/>
          </w:rPr>
          <w:t xml:space="preserve">16</w:t>
        </w:r>
      </w:hyperlink>
      <w:r>
        <w:t xml:space="preserve">]</w:t>
      </w:r>
      <w:r>
        <w:t xml:space="preserve">, or brain structure and function</w:t>
      </w:r>
      <w:r>
        <w:t xml:space="preserve"> </w:t>
      </w:r>
      <w:r>
        <w:t xml:space="preserve">[</w:t>
      </w:r>
      <w:hyperlink w:anchor="ref-amiel_effects_2017">
        <w:r>
          <w:rPr>
            <w:rStyle w:val="Hyperlink"/>
          </w:rPr>
          <w:t xml:space="preserve">6</w:t>
        </w:r>
      </w:hyperlink>
      <w:r>
        <w:t xml:space="preserve">]</w:t>
      </w:r>
      <w:r>
        <w:t xml:space="preserve">. Long-lasting effects on energy production and oxidative stress in the brain may be a key mechanism by which cognitive function is impacted by developmental environments</w:t>
      </w:r>
      <w:r>
        <w:t xml:space="preserve"> </w:t>
      </w:r>
      <w:r>
        <w:t xml:space="preserve">[</w:t>
      </w:r>
      <w:hyperlink w:anchor="ref-siegel1994basic">
        <w:r>
          <w:rPr>
            <w:rStyle w:val="Hyperlink"/>
          </w:rPr>
          <w:t xml:space="preserve">17</w:t>
        </w:r>
      </w:hyperlink>
      <w:r>
        <w:t xml:space="preserve">–</w:t>
      </w:r>
      <w:hyperlink w:anchor="ref-picard_energetic_2018">
        <w:r>
          <w:rPr>
            <w:rStyle w:val="Hyperlink"/>
          </w:rPr>
          <w:t xml:space="preserve">20</w:t>
        </w:r>
      </w:hyperlink>
      <w:r>
        <w:t xml:space="preserve">]</w:t>
      </w:r>
      <w:r>
        <w:t xml:space="preserve">. Given the high energetic demands of cognitive processes</w:t>
      </w:r>
      <w:r>
        <w:t xml:space="preserve"> </w:t>
      </w:r>
      <w:r>
        <w:t xml:space="preserve">[</w:t>
      </w:r>
      <w:hyperlink w:anchor="ref-mcnay_decreases_2000">
        <w:r>
          <w:rPr>
            <w:rStyle w:val="Hyperlink"/>
          </w:rPr>
          <w:t xml:space="preserve">21</w:t>
        </w:r>
      </w:hyperlink>
      <w:r>
        <w:t xml:space="preserve">–</w:t>
      </w:r>
      <w:hyperlink w:anchor="ref-alexandrov_neuronal_2022">
        <w:r>
          <w:rPr>
            <w:rStyle w:val="Hyperlink"/>
          </w:rPr>
          <w:t xml:space="preserve">23</w:t>
        </w:r>
      </w:hyperlink>
      <w:r>
        <w:t xml:space="preserve">]</w:t>
      </w:r>
      <w:r>
        <w:t xml:space="preserve">, cognitive performance is expected to depend on efficient mitochondrial respiration. Additionally, high cognitive abilities are typically associated with increased neuron density and functionality</w:t>
      </w:r>
      <w:r>
        <w:t xml:space="preserve"> </w:t>
      </w:r>
      <w:r>
        <w:t xml:space="preserve">[</w:t>
      </w:r>
      <w:hyperlink w:anchor="ref-amiel_effects_2017">
        <w:r>
          <w:rPr>
            <w:rStyle w:val="Hyperlink"/>
          </w:rPr>
          <w:t xml:space="preserve">6</w:t>
        </w:r>
      </w:hyperlink>
      <w:r>
        <w:t xml:space="preserve">,</w:t>
      </w:r>
      <w:hyperlink w:anchor="ref-lefebvre_taxonomic_2011">
        <w:r>
          <w:rPr>
            <w:rStyle w:val="Hyperlink"/>
          </w:rPr>
          <w:t xml:space="preserve">24</w:t>
        </w:r>
      </w:hyperlink>
      <w:r>
        <w:t xml:space="preserve">]</w:t>
      </w:r>
      <w:r>
        <w:t xml:space="preserve">, both of which can be impaired by excessive reactive oxygen species (ROS) production and oxidative stress</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For instance, Hara et al. (2014) found that performance in visuospatial working-memory tasks correlate negatively with the number of round-shaped mitochondria — associated with higher oxidative stress — per presynaptic terminal. In conclusion, findings from different studies suggest that mitocondrial activity can be essential in shaping cognitive abilities. Thus, understanding how early-life conditions affect mitochondrial physiology may provide insights into the mechanisms underlying cognitive performance.</w:t>
      </w:r>
    </w:p>
    <w:p>
      <w:pPr>
        <w:pStyle w:val="BodyText"/>
      </w:pPr>
      <w:r>
        <w:t xml:space="preserve">Mitochondria are highly responsive to environmental conditions during early development, with potential short-term and long-lasting consequences</w:t>
      </w:r>
      <w:r>
        <w:t xml:space="preserve"> </w:t>
      </w:r>
      <w:r>
        <w:t xml:space="preserve">[reviewed in</w:t>
      </w:r>
      <w:r>
        <w:t xml:space="preserve"> </w:t>
      </w:r>
      <w:hyperlink w:anchor="ref-gyllenhammer2020developmental">
        <w:r>
          <w:rPr>
            <w:rStyle w:val="Hyperlink"/>
          </w:rPr>
          <w:t xml:space="preserve">28</w:t>
        </w:r>
      </w:hyperlink>
      <w:r>
        <w:t xml:space="preserve">]</w:t>
      </w:r>
      <w:r>
        <w:t xml:space="preserve">. For example, environmental cues such as external conditions or hormone exposure can cause immediate disruptions to metabolic function, triggering cascading effects on oxidative stress that may persist leter in life</w:t>
      </w:r>
      <w:r>
        <w:t xml:space="preserve"> </w:t>
      </w:r>
      <w:r>
        <w:t xml:space="preserve">[reviewed in</w:t>
      </w:r>
      <w:r>
        <w:t xml:space="preserve"> </w:t>
      </w:r>
      <w:hyperlink w:anchor="ref-gyllenhammer2020developmental">
        <w:r>
          <w:rPr>
            <w:rStyle w:val="Hyperlink"/>
          </w:rPr>
          <w:t xml:space="preserve">28</w:t>
        </w:r>
      </w:hyperlink>
      <w:r>
        <w:t xml:space="preserve">]</w:t>
      </w:r>
      <w:r>
        <w:t xml:space="preserve">. Among the range of environmental factors that can shape mitochondrial physiology, some exert particularly strong and consistent effects. Stress-related hormones and temperature are particularly relevant for mitochondrial function due to their strong effects on metabolic processes</w:t>
      </w:r>
      <w:r>
        <w:t xml:space="preserve"> </w:t>
      </w:r>
      <w:r>
        <w:t xml:space="preserve">[</w:t>
      </w:r>
      <w:hyperlink w:anchor="ref-sapolsky_how_2000">
        <w:r>
          <w:rPr>
            <w:rStyle w:val="Hyperlink"/>
          </w:rPr>
          <w:t xml:space="preserve">29</w:t>
        </w:r>
      </w:hyperlink>
      <w:r>
        <w:t xml:space="preserve">–</w:t>
      </w:r>
      <w:hyperlink w:anchor="ref-crino2024eggs">
        <w:r>
          <w:rPr>
            <w:rStyle w:val="Hyperlink"/>
          </w:rPr>
          <w:t xml:space="preserve">31</w:t>
        </w:r>
      </w:hyperlink>
      <w:r>
        <w:t xml:space="preserve">]</w:t>
      </w:r>
      <w:r>
        <w:t xml:space="preserve">. Under stressful situations, animals instigate adaptive physiological and behavioural adjustments that involve increases in glucocorticoids (GCs), which are also important metabolic regulators</w:t>
      </w:r>
      <w:r>
        <w:t xml:space="preserve"> </w:t>
      </w:r>
      <w:r>
        <w:t xml:space="preserve">[</w:t>
      </w:r>
      <w:hyperlink w:anchor="ref-sapolsky_how_2000">
        <w:r>
          <w:rPr>
            <w:rStyle w:val="Hyperlink"/>
          </w:rPr>
          <w:t xml:space="preserve">29</w:t>
        </w:r>
      </w:hyperlink>
      <w:r>
        <w:t xml:space="preserve">]</w:t>
      </w:r>
      <w:r>
        <w:t xml:space="preserve">. Similarly, temperature plays a prominent role in regulating metabolic activity in ectotherms</w:t>
      </w:r>
      <w:r>
        <w:t xml:space="preserve"> </w:t>
      </w:r>
      <w:r>
        <w:t xml:space="preserve">[</w:t>
      </w:r>
      <w:hyperlink w:anchor="ref-stier2022experimental">
        <w:r>
          <w:rPr>
            <w:rStyle w:val="Hyperlink"/>
          </w:rPr>
          <w:t xml:space="preserve">30</w:t>
        </w:r>
      </w:hyperlink>
      <w:r>
        <w:t xml:space="preserve">,</w:t>
      </w:r>
      <w:hyperlink w:anchor="ref-crino2024eggs">
        <w:r>
          <w:rPr>
            <w:rStyle w:val="Hyperlink"/>
          </w:rPr>
          <w:t xml:space="preserve">31</w:t>
        </w:r>
      </w:hyperlink>
      <w:r>
        <w:t xml:space="preserve">]</w:t>
      </w:r>
      <w:r>
        <w:t xml:space="preserve">. In fact, GC elevations or changes in the thermal environment during early development have profound and sustained effects on mitochondrial respiration efficiency or oxidative stress</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However, how the early environment influences mitochondrial physiology and its associated cognitive consequences remains largely unknown outside of mammals</w:t>
      </w:r>
      <w:r>
        <w:t xml:space="preserve"> </w:t>
      </w:r>
      <w:r>
        <w:t xml:space="preserve">[see</w:t>
      </w:r>
      <w:r>
        <w:t xml:space="preserve"> </w:t>
      </w:r>
      <w:hyperlink w:anchor="ref-chaudhari2022early">
        <w:r>
          <w:rPr>
            <w:rStyle w:val="Hyperlink"/>
          </w:rPr>
          <w:t xml:space="preserve">36</w:t>
        </w:r>
      </w:hyperlink>
      <w:r>
        <w:t xml:space="preserve"> </w:t>
      </w:r>
      <w:r>
        <w:t xml:space="preserve">for a review]</w:t>
      </w:r>
      <w:r>
        <w:t xml:space="preserve">. In particular, whether and how these interactions affect perceptual abilities, such as prey detection, is still largely unexplored.</w:t>
      </w:r>
    </w:p>
    <w:p>
      <w:pPr>
        <w:pStyle w:val="BodyText"/>
      </w:pPr>
      <w:r>
        <w:t xml:space="preserve">Here, we investigated the combined effects of prenatal temperature and corticosterone (CORT) - the main GC in reptiles - on mitochondrial physiology and prey detection in a lizard (</w:t>
      </w:r>
      <w:r>
        <w:rPr>
          <w:i/>
          <w:iCs/>
        </w:rPr>
        <w:t xml:space="preserve">Lampropholis delicata</w:t>
      </w:r>
      <w:r>
        <w:t xml:space="preserve">). We manipulated egg CORT levels and incubation in a fully factorial design. We then assessed hatchling prey detection ability and quantified metabolic function in brain regions related to processing chemical and visual cues. We hypothesized that prenatal CORT exposure and the incubation thermal environment would influence metabolic function and oxidative stress in the brain</w:t>
      </w:r>
      <w:r>
        <w:t xml:space="preserve"> </w:t>
      </w:r>
      <w:r>
        <w:t xml:space="preserve">[</w:t>
      </w:r>
      <w:hyperlink w:anchor="ref-zhu_prenatal_2004">
        <w:r>
          <w:rPr>
            <w:rStyle w:val="Hyperlink"/>
          </w:rPr>
          <w:t xml:space="preserve">4</w:t>
        </w:r>
      </w:hyperlink>
      <w:r>
        <w:t xml:space="preserve">,</w:t>
      </w:r>
      <w:hyperlink w:anchor="ref-stier2022experimental">
        <w:r>
          <w:rPr>
            <w:rStyle w:val="Hyperlink"/>
          </w:rPr>
          <w:t xml:space="preserve">30</w:t>
        </w:r>
      </w:hyperlink>
      <w:r>
        <w:t xml:space="preserve">–</w:t>
      </w:r>
      <w:hyperlink w:anchor="ref-treidel2016temperature">
        <w:r>
          <w:rPr>
            <w:rStyle w:val="Hyperlink"/>
          </w:rPr>
          <w:t xml:space="preserve">35</w:t>
        </w:r>
      </w:hyperlink>
      <w:r>
        <w:t xml:space="preserve">]</w:t>
      </w:r>
      <w:r>
        <w:t xml:space="preserve">, with significant repercussions on cognition</w:t>
      </w:r>
      <w:r>
        <w:t xml:space="preserve"> </w:t>
      </w:r>
      <w:r>
        <w:t xml:space="preserve">[</w:t>
      </w:r>
      <w:hyperlink w:anchor="ref-zhu_prenatal_2004">
        <w:r>
          <w:rPr>
            <w:rStyle w:val="Hyperlink"/>
          </w:rPr>
          <w:t xml:space="preserve">4</w:t>
        </w:r>
      </w:hyperlink>
      <w:r>
        <w:t xml:space="preserve">,</w:t>
      </w:r>
      <w:hyperlink w:anchor="ref-hara_presynaptic_2014">
        <w:r>
          <w:rPr>
            <w:rStyle w:val="Hyperlink"/>
          </w:rPr>
          <w:t xml:space="preserve">37</w:t>
        </w:r>
      </w:hyperlink>
      <w:r>
        <w:t xml:space="preserve">]</w:t>
      </w:r>
      <w:r>
        <w:t xml:space="preserve">. We predicted that metabolic deficiencies or increases in oxidative stress and damage would result in lower cognitive abilities (i.e. longer time to detect prey)</w:t>
      </w:r>
      <w:r>
        <w:t xml:space="preserve"> </w:t>
      </w:r>
      <w:r>
        <w:t xml:space="preserve">[</w:t>
      </w:r>
      <w:hyperlink w:anchor="ref-picard_energetic_2018">
        <w:r>
          <w:rPr>
            <w:rStyle w:val="Hyperlink"/>
          </w:rPr>
          <w:t xml:space="preserve">20</w:t>
        </w:r>
      </w:hyperlink>
      <w:r>
        <w:t xml:space="preserve">,</w:t>
      </w:r>
      <w:hyperlink w:anchor="ref-alexandrov_neuronal_2022">
        <w:r>
          <w:rPr>
            <w:rStyle w:val="Hyperlink"/>
          </w:rPr>
          <w:t xml:space="preserve">23</w:t>
        </w:r>
      </w:hyperlink>
      <w:r>
        <w:t xml:space="preserve">]</w:t>
      </w:r>
      <w:r>
        <w:t xml:space="preserve">. Furthermore, we predicted prenatal conditions to have region-dependent effects on mitochondrial function</w:t>
      </w:r>
      <w:r>
        <w:t xml:space="preserve"> </w:t>
      </w:r>
      <w:r>
        <w:t xml:space="preserve">[</w:t>
      </w:r>
      <w:hyperlink w:anchor="ref-coomber_independent_1997">
        <w:r>
          <w:rPr>
            <w:rStyle w:val="Hyperlink"/>
          </w:rPr>
          <w:t xml:space="preserve">38</w:t>
        </w:r>
      </w:hyperlink>
      <w:r>
        <w:t xml:space="preserve">]</w:t>
      </w:r>
      <w:r>
        <w:t xml:space="preserve"> </w:t>
      </w:r>
      <w:r>
        <w:t xml:space="preserve">that would lead to stimulus-specific differences in prey detection.</w:t>
      </w:r>
    </w:p>
    <w:bookmarkEnd w:id="21"/>
    <w:bookmarkStart w:id="31" w:name="methods"/>
    <w:p>
      <w:pPr>
        <w:pStyle w:val="Heading2"/>
      </w:pPr>
      <w:r>
        <w:t xml:space="preserve">Methods</w:t>
      </w:r>
    </w:p>
    <w:bookmarkStart w:id="22" w:name="animal-husbandry"/>
    <w:p>
      <w:pPr>
        <w:pStyle w:val="Heading4"/>
      </w:pPr>
      <w:r>
        <w:t xml:space="preserve">Animal husbandry</w:t>
      </w:r>
    </w:p>
    <w:p>
      <w:pPr>
        <w:pStyle w:val="FirstParagraph"/>
      </w:pPr>
      <w:r>
        <w:rPr>
          <w:i/>
          <w:iCs/>
        </w:rPr>
        <w:t xml:space="preserve">Breeding colony</w:t>
      </w:r>
      <w:r>
        <w:t xml:space="preserve"> </w:t>
      </w:r>
      <w:r>
        <w:t xml:space="preserve">– The lizards tested came from a breeding colony established in the laboratory in 2019. The colony consisted of 270 adults of</w:t>
      </w:r>
      <w:r>
        <w:t xml:space="preserve"> </w:t>
      </w:r>
      <w:r>
        <w:rPr>
          <w:i/>
          <w:iCs/>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lizards were fed approx. 40 mid-size crickets (</w:t>
      </w:r>
      <w:r>
        <w:rPr>
          <w:i/>
          <w:iCs/>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
          <w:iCs/>
        </w:rPr>
        <w:t xml:space="preserve">Egg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the length and width of eggs with a digital caliper to the nearest 0.1 mm and weighed them with a digital scale (± 0.001 g). Eggs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pPr>
        <w:pStyle w:val="BodyText"/>
      </w:pPr>
      <w:r>
        <w:rPr>
          <w:i/>
          <w:iCs/>
        </w:rPr>
        <w:t xml:space="preserve">Hatchlings</w:t>
      </w:r>
      <w:r>
        <w:t xml:space="preserve"> </w:t>
      </w:r>
      <w:r>
        <w:t xml:space="preserve">– Incubators were checked three times a week for hatchlings. We measured and weighted lizards immediately after hatching. We used a ruler to measure snout-vent length (SVL) and tail length (TL) to the nearest mm, and a digital scale to measure mass (± 0.001 g). We then placed hatchlings in individual enclosures (18.7L x 13.2W x 6.3H cm) and provided them with nonstick matting and a small water dish until the beginning of the experiment. During this period, lizards were given water daily and received 3-6 small</w:t>
      </w:r>
      <w:r>
        <w:t xml:space="preserve"> </w:t>
      </w:r>
      <w:r>
        <w:rPr>
          <w:i/>
          <w:iCs/>
        </w:rPr>
        <w:t xml:space="preserve">A. domestica</w:t>
      </w:r>
      <w:r>
        <w:t xml:space="preserve"> </w:t>
      </w:r>
      <w:r>
        <w:t xml:space="preserve">crickets three times a week. All care otherwise follows similar protocols to adults (see above).</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(see</w:t>
      </w:r>
      <w:r>
        <w:t xml:space="preserve"> </w:t>
      </w:r>
      <w:hyperlink w:anchor="fig-Methods">
        <w:r>
          <w:rPr>
            <w:rStyle w:val="Hyperlink"/>
          </w:rPr>
          <w:t xml:space="preserve">Fig. 1</w:t>
        </w:r>
      </w:hyperlink>
      <w:r>
        <w:t xml:space="preserve"> </w:t>
      </w:r>
      <w:r>
        <w:t xml:space="preserve">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by approximately 2 standard deviations above the mean natural concentration</w:t>
      </w:r>
      <w:r>
        <w:t xml:space="preserve"> </w:t>
      </w:r>
      <w:r>
        <w:t xml:space="preserve">[</w:t>
      </w:r>
      <w:hyperlink w:anchor="ref-crino2024eggs">
        <w:r>
          <w:rPr>
            <w:rStyle w:val="Hyperlink"/>
          </w:rPr>
          <w:t xml:space="preserve">31</w:t>
        </w:r>
      </w:hyperlink>
      <w:r>
        <w:t xml:space="preserve">]</w:t>
      </w:r>
      <w:r>
        <w:t xml:space="preserve">. Eggs were then incubated at either cold (23 ± 3 ºC) or hot (28 ± 3 ºC) incubation temperatures in a 2x2 factorial design (Fig. 1 A). These temperatures are within the natural limits in</w:t>
      </w:r>
      <w:r>
        <w:t xml:space="preserve"> </w:t>
      </w:r>
      <w:r>
        <w:rPr>
          <w:i/>
          <w:iCs/>
        </w:rPr>
        <w:t xml:space="preserve">L. delicata</w:t>
      </w:r>
      <w:r>
        <w:t xml:space="preserve"> </w:t>
      </w:r>
      <w:r>
        <w:t xml:space="preserve">[</w:t>
      </w:r>
      <w:hyperlink w:anchor="ref-cheetham2011embryonic">
        <w:r>
          <w:rPr>
            <w:rStyle w:val="Hyperlink"/>
          </w:rPr>
          <w:t xml:space="preserve">39</w:t>
        </w:r>
      </w:hyperlink>
      <w:r>
        <w:t xml:space="preserve">]</w:t>
      </w:r>
      <w:r>
        <w:t xml:space="preserve">.</w:t>
      </w:r>
    </w:p>
    <w:bookmarkEnd w:id="23"/>
    <w:bookmarkStart w:id="28" w:name="prey-discrimination-tests"/>
    <w:p>
      <w:pPr>
        <w:pStyle w:val="Heading4"/>
      </w:pPr>
      <w:r>
        <w:t xml:space="preserve">Prey discrimination tests</w:t>
      </w:r>
    </w:p>
    <w:p>
      <w:pPr>
        <w:pStyle w:val="FirstParagraph"/>
      </w:pPr>
      <w: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w:t>
      </w:r>
      <w:r>
        <w:t xml:space="preserve"> </w:t>
      </w:r>
      <w:r>
        <w:rPr>
          <w:i/>
          <w:iCs/>
        </w:rPr>
        <w:t xml:space="preserve">ad libitum</w:t>
      </w:r>
      <w:r>
        <w:t xml:space="preserve">.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pPr>
        <w:pStyle w:val="BodyText"/>
      </w:pPr>
      <w:r>
        <w:t xml:space="preserve">The experiment involved presenting lizards with chemical and visual stimuli from different familiar and unfamiliar prey, then recording and analyzing their behaviour towards each stimulus (</w:t>
      </w:r>
      <w:hyperlink w:anchor="fig-Methods">
        <w:r>
          <w:rPr>
            <w:rStyle w:val="Hyperlink"/>
          </w:rPr>
          <w:t xml:space="preserve">Fig. 1</w:t>
        </w:r>
      </w:hyperlink>
      <w:r>
        <w:t xml:space="preserve"> </w:t>
      </w:r>
      <w:r>
        <w:t xml:space="preserve">C). We used crickets (</w:t>
      </w:r>
      <w:r>
        <w:rPr>
          <w:i/>
          <w:iCs/>
        </w:rPr>
        <w:t xml:space="preserve">A. domestica</w:t>
      </w:r>
      <w:r>
        <w:t xml:space="preserve">) as the familiar prey and mealworm larvae (</w:t>
      </w:r>
      <w:r>
        <w:rPr>
          <w:i/>
          <w:iCs/>
        </w:rPr>
        <w:t xml:space="preserve">Tenebrio molitor</w:t>
      </w:r>
      <w:r>
        <w:t xml:space="preserve">) as the unfamiliar prey. We expected to see differences between known and unknown prey because previous experience may influence stimuli perception through habituation or sensitisation</w:t>
      </w:r>
      <w:r>
        <w:t xml:space="preserve"> </w:t>
      </w:r>
      <w:r>
        <w:t xml:space="preserve">[</w:t>
      </w:r>
      <w:hyperlink w:anchor="ref-desfilis2003stimulus">
        <w:r>
          <w:rPr>
            <w:rStyle w:val="Hyperlink"/>
          </w:rPr>
          <w:t xml:space="preserve">11</w:t>
        </w:r>
      </w:hyperlink>
      <w:r>
        <w:t xml:space="preserve">,</w:t>
      </w:r>
      <w:hyperlink w:anchor="ref-burger_effects_1990">
        <w:r>
          <w:rPr>
            <w:rStyle w:val="Hyperlink"/>
          </w:rPr>
          <w:t xml:space="preserve">40</w:t>
        </w:r>
      </w:hyperlink>
      <w:r>
        <w:t xml:space="preserve">,</w:t>
      </w:r>
      <w:hyperlink w:anchor="ref-burger_effects_1991">
        <w:r>
          <w:rPr>
            <w:rStyle w:val="Hyperlink"/>
          </w:rPr>
          <w:t xml:space="preserve">41</w:t>
        </w:r>
      </w:hyperlink>
      <w:r>
        <w:t xml:space="preserve">]</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
          <w:iCs/>
        </w:rPr>
        <w:t xml:space="preserve">A. domestica</w:t>
      </w:r>
      <w:r>
        <w:t xml:space="preserve"> </w:t>
      </w:r>
      <w:r>
        <w:t xml:space="preserve">or</w:t>
      </w:r>
      <w:r>
        <w:t xml:space="preserve"> </w:t>
      </w:r>
      <w:r>
        <w:rPr>
          <w:i/>
          <w:iCs/>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at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‘Detection latency’</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Lizards were considered to have interacted with the object when the lizard touched the front of the vessel or the filter paper with its snout for more than five consecutive seconds.</w:t>
      </w:r>
    </w:p>
    <w:p>
      <w:pPr>
        <w:pStyle w:val="BodyText"/>
      </w:pPr>
      <w:r>
        <w:t xml:space="preserve">To control for potential differences in hunger levels, all lizards were fasted for two days before the experiment, a period considered harmless for this species</w:t>
      </w:r>
      <w:r>
        <w:t xml:space="preserve"> </w:t>
      </w:r>
      <w:r>
        <w:t xml:space="preserve">[</w:t>
      </w:r>
      <w:hyperlink w:anchor="ref-young2022physiological">
        <w:r>
          <w:rPr>
            <w:rStyle w:val="Hyperlink"/>
          </w:rPr>
          <w:t xml:space="preserve">42</w:t>
        </w:r>
      </w:hyperlink>
      <w:r>
        <w:t xml:space="preserve">]</w:t>
      </w:r>
      <w:r>
        <w:t xml:space="preserve">. After each trial, the lizards 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ayout w:type="fixed"/>
        <w:tblLook w:firstRow="0" w:lastRow="0" w:firstColumn="0" w:lastColumn="0" w:noHBand="0" w:noVBand="0" w:val="0000"/>
      </w:tblPr>
      <w:tblGrid>
        <w:gridCol w:w="7920"/>
      </w:tblGrid>
      <w:tr>
        <w:tc>
          <w:tcPr/>
          <w:bookmarkStart w:id="27" w:name="fig-Methods"/>
          <w:p>
            <w:pPr>
              <w:pStyle w:val="Compact"/>
              <w:jc w:val="center"/>
            </w:pPr>
            <w:r>
              <w:drawing>
                <wp:inline>
                  <wp:extent cx="5943600" cy="524390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3900"/>
                          </a:xfrm>
                          <a:prstGeom prst="rect">
                            <a:avLst/>
                          </a:prstGeom>
                          <a:noFill/>
                          <a:ln w="9525">
                            <a:noFill/>
                            <a:headEnd/>
                            <a:tailEnd/>
                          </a:ln>
                        </pic:spPr>
                      </pic:pic>
                    </a:graphicData>
                  </a:graphic>
                </wp:inline>
              </w:drawing>
            </w:r>
          </w:p>
          <w:p>
            <w:pPr>
              <w:jc w:val="center"/>
            </w:pPr>
            <w:pPr>
              <w:jc w:val="start"/>
              <w:spacing w:before="200"/>
              <w:pStyle w:val="ImageCaption"/>
            </w:pPr>
            <w:r>
              <w:t xml:space="preserve">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bookmarkEnd w:id="27"/>
        </w:tc>
      </w:tr>
    </w:tbl>
    <w:bookmarkEnd w:id="28"/>
    <w:bookmarkStart w:id="29" w:name="brain-metabolic-function"/>
    <w:p>
      <w:pPr>
        <w:pStyle w:val="Heading4"/>
      </w:pPr>
      <w:r>
        <w:t xml:space="preserve">Brain metabolic function</w:t>
      </w:r>
    </w:p>
    <w:p>
      <w:pPr>
        <w:pStyle w:val="FirstParagraph"/>
      </w:pPr>
      <w:r>
        <w:rPr>
          <w:i/>
          <w:iCs/>
        </w:rPr>
        <w:t xml:space="preserve">Brain dissection and homogenization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t xml:space="preserve">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pPr>
        <w:pStyle w:val="BodyText"/>
      </w:pPr>
      <w:r>
        <w:t xml:space="preserve">Homogenates were split among two aliquots: one was used fresh to measure mitochondrial density, membrane potential - a metric of metabolic capacity</w:t>
      </w:r>
      <w:r>
        <w:t xml:space="preserve"> </w:t>
      </w:r>
      <w:r>
        <w:t xml:space="preserve">[</w:t>
      </w:r>
      <w:hyperlink w:anchor="ref-martinez2016tca">
        <w:r>
          <w:rPr>
            <w:rStyle w:val="Hyperlink"/>
          </w:rPr>
          <w:t xml:space="preserve">44</w:t>
        </w:r>
      </w:hyperlink>
      <w:r>
        <w:t xml:space="preserve">]</w:t>
      </w:r>
      <w:r>
        <w:t xml:space="preserve"> </w:t>
      </w:r>
      <w:r>
        <w:t xml:space="preserve">-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pPr>
        <w:pStyle w:val="BodyText"/>
      </w:pPr>
      <w:r>
        <w:rPr>
          <w:i/>
          <w:iCs/>
        </w:rPr>
        <w:t xml:space="preserve">Metabolism and ROS</w:t>
      </w:r>
      <w:r>
        <w:t xml:space="preserve">: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pPr>
        <w:pStyle w:val="BodyText"/>
      </w:pPr>
      <w:r>
        <w:rPr>
          <w:i/>
          <w:iCs/>
        </w:rPr>
        <w:t xml:space="preserve">Oxidative Damage</w:t>
      </w:r>
      <w:r>
        <w:t xml:space="preserve">: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pPr>
        <w:pStyle w:val="BodyText"/>
      </w:pPr>
      <w:r>
        <w:rPr>
          <w:i/>
          <w:iCs/>
        </w:rPr>
        <w:t xml:space="preserve">Flow Cytometry</w:t>
      </w:r>
      <w:r>
        <w:t xml:space="preserve">: 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w:t>
      </w:r>
      <w:r>
        <w:t xml:space="preserve"> </w:t>
      </w:r>
      <w:r>
        <w:rPr>
          <w:i/>
          <w:iCs/>
        </w:rPr>
        <w:t xml:space="preserve">Brain validation in Supplementary Material</w:t>
      </w:r>
      <w:r>
        <w:t xml:space="preserve">). This pilot study also ensured that our gating strategy identified these neurons using Flow cytometry.</w:t>
      </w:r>
    </w:p>
    <w:p>
      <w:pPr>
        <w:pStyle w:val="BodyText"/>
      </w:pPr>
      <w:r>
        <w:t xml:space="preserve">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metabolic capacity, metabolic capatity/mitochondrial density, ROS, ROS/mitochondrial density, DNA damage, lipid peroxidation, and detection latency) separately. We first fit a set of preliminary models for all the interest variables where we included the hormone (CORT versus 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w:t>
      </w:r>
      <w:r>
        <w:t xml:space="preserve"> </w:t>
      </w:r>
      <w:r>
        <w:t xml:space="preserve">[</w:t>
      </w:r>
      <w:hyperlink w:anchor="ref-conde2018stress">
        <w:r>
          <w:rPr>
            <w:rStyle w:val="Hyperlink"/>
          </w:rPr>
          <w:t xml:space="preserve">45</w:t>
        </w:r>
      </w:hyperlink>
      <w:r>
        <w:t xml:space="preserve">]</w:t>
      </w:r>
      <w: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w:t>
      </w:r>
      <w:r>
        <w:t xml:space="preserve"> </w:t>
      </w:r>
      <w:r>
        <w:rPr>
          <w:i/>
          <w:iCs/>
        </w:rPr>
        <w:t xml:space="preserve">Supplementary Material</w:t>
      </w:r>
      <w:r>
        <w:t xml:space="preserve">.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w:t>
      </w:r>
      <w:r>
        <w:t xml:space="preserve"> </w:t>
      </w:r>
      <w:r>
        <w:t xml:space="preserve">[</w:t>
      </w:r>
      <w:hyperlink w:anchor="ref-gelman2008scaling">
        <w:r>
          <w:rPr>
            <w:rStyle w:val="Hyperlink"/>
          </w:rPr>
          <w:t xml:space="preserve">46</w:t>
        </w:r>
      </w:hyperlink>
      <w:r>
        <w:t xml:space="preserve">]</w:t>
      </w:r>
      <w:r>
        <w:t xml:space="preserve">. Before standardization, mitochondrial density, DNA damage, lipid peroxidation, and detection latency were log-transformed.</w:t>
      </w:r>
    </w:p>
    <w:p>
      <w:pPr>
        <w:pStyle w:val="BodyText"/>
      </w:pPr>
      <w:r>
        <w:t xml:space="preserve">All models were fit using using the package</w:t>
      </w:r>
      <w:r>
        <w:t xml:space="preserve"> </w:t>
      </w:r>
      <w:r>
        <w:rPr>
          <w:i/>
          <w:iCs/>
        </w:rPr>
        <w:t xml:space="preserve">brm</w:t>
      </w:r>
      <w:r>
        <w:t xml:space="preserve"> </w:t>
      </w:r>
      <w:r>
        <w:t xml:space="preserve">which insterfaces with Stan</w:t>
      </w:r>
      <w:r>
        <w:t xml:space="preserve"> </w:t>
      </w:r>
      <w:r>
        <w:t xml:space="preserve">[</w:t>
      </w:r>
      <w:hyperlink w:anchor="ref-stan">
        <w:r>
          <w:rPr>
            <w:rStyle w:val="Hyperlink"/>
          </w:rPr>
          <w:t xml:space="preserve">47</w:t>
        </w:r>
      </w:hyperlink>
      <w:r>
        <w:t xml:space="preserve">]</w:t>
      </w:r>
      <w:r>
        <w:t xml:space="preserve"> </w:t>
      </w:r>
      <w:r>
        <w:t xml:space="preserve">in R (version 4.4. 0)</w:t>
      </w:r>
      <w:r>
        <w:t xml:space="preserve"> </w:t>
      </w:r>
      <w:r>
        <w:t xml:space="preserve">[</w:t>
      </w:r>
      <w:hyperlink w:anchor="ref-R">
        <w:r>
          <w:rPr>
            <w:rStyle w:val="Hyperlink"/>
          </w:rPr>
          <w:t xml:space="preserve">48</w:t>
        </w:r>
      </w:hyperlink>
      <w:r>
        <w:t xml:space="preserve">]</w:t>
      </w:r>
      <w:r>
        <w:t xml:space="preserve">.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w:t>
      </w:r>
      <w:r>
        <w:t xml:space="preserve"> </w:t>
      </w:r>
      <w:r>
        <w:t xml:space="preserve">[</w:t>
      </w:r>
      <w:hyperlink w:anchor="ref-endo2019introduction">
        <w:r>
          <w:rPr>
            <w:rStyle w:val="Hyperlink"/>
          </w:rPr>
          <w:t xml:space="preserve">49</w:t>
        </w:r>
      </w:hyperlink>
      <w:r>
        <w:t xml:space="preserve">]</w:t>
      </w:r>
      <w:r>
        <w:t xml:space="preserve">. We considered an effect statistically significant if pMCMC &lt; 0.05.</w:t>
      </w:r>
    </w:p>
    <w:p>
      <w:pPr>
        <w:pStyle w:val="BodyText"/>
      </w:pPr>
      <w:r>
        <w:t xml:space="preserve">To further explore the relationships between mitochondrial physiology and detection latency, we used a Structural Equation Modelling (SEM) approach. We fit a multivariate brm from stan</w:t>
      </w:r>
      <w:r>
        <w:t xml:space="preserve"> </w:t>
      </w:r>
      <w:r>
        <w:t xml:space="preserve">[</w:t>
      </w:r>
      <w:hyperlink w:anchor="ref-stan">
        <w:r>
          <w:rPr>
            <w:rStyle w:val="Hyperlink"/>
          </w:rPr>
          <w:t xml:space="preserve">47</w:t>
        </w:r>
      </w:hyperlink>
      <w:r>
        <w:t xml:space="preserve">]</w:t>
      </w:r>
      <w:r>
        <w:t xml:space="preserve"> </w:t>
      </w:r>
      <w:r>
        <w:t xml:space="preserve">in R (version 4.4.0)</w:t>
      </w:r>
      <w:r>
        <w:t xml:space="preserve"> </w:t>
      </w:r>
      <w:r>
        <w:t xml:space="preserve">[</w:t>
      </w:r>
      <w:hyperlink w:anchor="ref-R">
        <w:r>
          <w:rPr>
            <w:rStyle w:val="Hyperlink"/>
          </w:rPr>
          <w:t xml:space="preserve">48</w:t>
        </w:r>
      </w:hyperlink>
      <w:r>
        <w:t xml:space="preserve">]</w:t>
      </w:r>
      <w:r>
        <w:t xml:space="preserve"> </w:t>
      </w:r>
      <w:r>
        <w:t xml:space="preserve">for each brain region/stimulus separately. We included in the model all the variables of interest and their interactions structured following a specific set of hypotheses (see</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pPr>
        <w:pStyle w:val="BodyText"/>
      </w:pPr>
      <w:r>
        <w:t xml:space="preserve">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w:t>
      </w:r>
      <w:r>
        <w:t xml:space="preserve"> </w:t>
      </w:r>
      <w:r>
        <w:t xml:space="preserve">[</w:t>
      </w:r>
      <w:hyperlink w:anchor="ref-kline2005principles">
        <w:r>
          <w:rPr>
            <w:rStyle w:val="Hyperlink"/>
          </w:rPr>
          <w:t xml:space="preserve">50</w:t>
        </w:r>
      </w:hyperlink>
      <w:r>
        <w:t xml:space="preserve">]</w:t>
      </w:r>
      <w:r>
        <w:t xml:space="preserve">. Total effects are the sum of direct and indirect effects.</w:t>
      </w:r>
    </w:p>
    <w:bookmarkEnd w:id="30"/>
    <w:bookmarkEnd w:id="31"/>
    <w:bookmarkStart w:id="55" w:name="results"/>
    <w:p>
      <w:pPr>
        <w:pStyle w:val="Heading2"/>
      </w:pPr>
      <w:r>
        <w:t xml:space="preserve">Results</w:t>
      </w:r>
    </w:p>
    <w:p>
      <w:pPr>
        <w:pStyle w:val="FirstParagraph"/>
      </w:pPr>
      <w:r>
        <w:t xml:space="preserve">Our final sample size for mitochondrial assays was 80 lizards from a total of 50 clutches (n = 20 per treatment). Each lizard was subjected to 4 tests for a total of n = 320 behavioural observations (n = 2 with missing data).</w:t>
      </w:r>
    </w:p>
    <w:bookmarkStart w:id="40" w:name="X286ab425120d3998f6edb2b3293d5e593d3c058"/>
    <w:p>
      <w:pPr>
        <w:pStyle w:val="Heading4"/>
      </w:pPr>
      <w:r>
        <w:t xml:space="preserve">Do prenatal CORT and temperature affect mitochondrial function and oxidative stress in the brain?</w:t>
      </w:r>
    </w:p>
    <w:p>
      <w:pPr>
        <w:pStyle w:val="FirstParagraph"/>
      </w:pPr>
      <w:r>
        <w:t xml:space="preserve">Models explained between 37.8 to 50.4 % of the variation in mitochondrial function and 39.9 to 59 % for oxidative stress (see Table S1).</w:t>
      </w:r>
    </w:p>
    <w:p>
      <w:pPr>
        <w:pStyle w:val="BodyText"/>
      </w:pPr>
      <w:r>
        <w:rPr>
          <w:i/>
          <w:iCs/>
        </w:rPr>
        <w:t xml:space="preserve">Olfactory bulbs</w:t>
      </w:r>
      <w:r>
        <w:t xml:space="preserve">: age significantly increased DNA damage and lipid peroxidation (Table S3). However, we did not find any significant effects of CORT, temperature on mitochondrial function nor oxidative stress in the olfactory bulbs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The posterior distribution provided little support for an overall CORT-temperature interaction on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0.125, pMCMC =0.344). However, targeted contrasts showed that lipid peroxidation was lower in CORT-Hot compared to CORT-Cold lizards (β</w:t>
      </w:r>
      <w:r>
        <w:rPr>
          <w:vertAlign w:val="subscript"/>
        </w:rPr>
        <w:t xml:space="preserve">CORT-Hot</w:t>
      </w:r>
      <w:r>
        <w:t xml:space="preserve"> </w:t>
      </w:r>
      <w:r>
        <w:t xml:space="preserve">- β</w:t>
      </w:r>
      <w:r>
        <w:rPr>
          <w:vertAlign w:val="subscript"/>
        </w:rPr>
        <w:t xml:space="preserve">CORT-Cold</w:t>
      </w:r>
      <w:r>
        <w:t xml:space="preserve">: mean = -0.242, pMCMC &lt; 0.05).</w:t>
      </w:r>
    </w:p>
    <w:tbl>
      <w:tblPr>
        <w:tblStyle w:val="Table"/>
        <w:tblW w:type="pct" w:w="5000"/>
        <w:tblLayout w:type="fixed"/>
        <w:tblLook w:firstRow="0" w:lastRow="0" w:firstColumn="0" w:lastColumn="0" w:noHBand="0" w:noVBand="0" w:val="0000"/>
      </w:tblPr>
      <w:tblGrid>
        <w:gridCol w:w="7920"/>
      </w:tblGrid>
      <w:tr>
        <w:tc>
          <w:tcPr/>
          <w:bookmarkStart w:id="35" w:name="fig-results_energy"/>
          <w:p>
            <w:pPr>
              <w:pStyle w:val="Compact"/>
              <w:jc w:val="center"/>
            </w:pPr>
            <w:r>
              <w:drawing>
                <wp:inline>
                  <wp:extent cx="5943600" cy="7926198"/>
                  <wp:effectExtent b="0" l="0" r="0" t="0"/>
                  <wp:docPr descr="" title="" id="33" name="Picture"/>
                  <a:graphic>
                    <a:graphicData uri="http://schemas.openxmlformats.org/drawingml/2006/picture">
                      <pic:pic>
                        <pic:nvPicPr>
                          <pic:cNvPr descr="./output/figures/text/results_energy.tiff" id="34" name="Picture"/>
                          <pic:cNvPicPr>
                            <a:picLocks noChangeArrowheads="1" noChangeAspect="1"/>
                          </pic:cNvPicPr>
                        </pic:nvPicPr>
                        <pic:blipFill>
                          <a:blip r:embed="rId32"/>
                          <a:stretch>
                            <a:fillRect/>
                          </a:stretch>
                        </pic:blipFill>
                        <pic:spPr bwMode="auto">
                          <a:xfrm>
                            <a:off x="0" y="0"/>
                            <a:ext cx="5943600" cy="7926198"/>
                          </a:xfrm>
                          <a:prstGeom prst="rect">
                            <a:avLst/>
                          </a:prstGeom>
                          <a:noFill/>
                          <a:ln w="9525">
                            <a:noFill/>
                            <a:headEnd/>
                            <a:tailEnd/>
                          </a:ln>
                        </pic:spPr>
                      </pic:pic>
                    </a:graphicData>
                  </a:graphic>
                </wp:inline>
              </w:drawing>
            </w:r>
          </w:p>
          <w:p>
            <w:pPr>
              <w:jc w:val="center"/>
            </w:pPr>
            <w:pPr>
              <w:jc w:val="start"/>
              <w:spacing w:before="200"/>
              <w:pStyle w:val="ImageCaption"/>
            </w:pPr>
            <w:r>
              <w:t xml:space="preserve">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
          <w:iCs/>
        </w:rPr>
        <w:t xml:space="preserve">Optic tecta</w:t>
      </w:r>
      <w:r>
        <w:t xml:space="preserve">: we did not find significant effects of CORT, temperature, or their interaction on mitochondrial density, metabolic capacity, or ROS production in the optic tecta, neither of CORT or incubation temperature on DNA damage or lipid peroxidation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However, the interaction of CORT and temperature have significant effects on DNA damage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-0.211, pMCMC &lt; 0.05), and lipid peroxidation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0.217, pMCMC &lt; 0.05) in the optic tecta. CORT elevations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=0.605), but it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0.237, pMCMC &lt; 0.05) (see</w:t>
      </w:r>
      <w:r>
        <w:t xml:space="preserve"> </w:t>
      </w:r>
      <w:hyperlink w:anchor="fig-results_oxidative">
        <w:r>
          <w:rPr>
            <w:rStyle w:val="Hyperlink"/>
          </w:rPr>
          <w:t xml:space="preserve">Fig. 3</w:t>
        </w:r>
      </w:hyperlink>
      <w:r>
        <w:t xml:space="preserve"> </w:t>
      </w:r>
      <w:r>
        <w:t xml:space="preserve">C, E). The direction of the effects of CORT on lipid peroxidation were the opposite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0.102, pMCMC =0.188) than at low temperatures (β</w:t>
      </w:r>
      <w:r>
        <w:rPr>
          <w:vertAlign w:val="subscript"/>
        </w:rPr>
        <w:t xml:space="preserve">Control-Cold</w:t>
      </w:r>
      <w:r>
        <w:t xml:space="preserve"> </w:t>
      </w:r>
      <w:r>
        <w:t xml:space="preserve">- β</w:t>
      </w:r>
      <w:r>
        <w:rPr>
          <w:vertAlign w:val="subscript"/>
        </w:rPr>
        <w:t xml:space="preserve">CORT-Cold</w:t>
      </w:r>
      <w:r>
        <w:t xml:space="preserve">: mean = -0.115, pMCMC =0.121), with significant differences between CORT-Hot and CORT-Cold lizards (β</w:t>
      </w:r>
      <w:r>
        <w:rPr>
          <w:vertAlign w:val="subscript"/>
        </w:rPr>
        <w:t xml:space="preserve">CORT-Hot</w:t>
      </w:r>
      <w:r>
        <w:t xml:space="preserve"> </w:t>
      </w:r>
      <w:r>
        <w:t xml:space="preserve">- β</w:t>
      </w:r>
      <w:r>
        <w:rPr>
          <w:vertAlign w:val="subscript"/>
        </w:rPr>
        <w:t xml:space="preserve">CORT-Cold</w:t>
      </w:r>
      <w:r>
        <w:t xml:space="preserve">: mean = -0.193, pMCMC &lt; 0.05; see</w:t>
      </w:r>
      <w:r>
        <w:t xml:space="preserve"> </w:t>
      </w:r>
      <w:hyperlink w:anchor="fig-results_oxidative">
        <w:r>
          <w:rPr>
            <w:rStyle w:val="Hyperlink"/>
          </w:rPr>
          <w:t xml:space="preserve">Fig. 3</w:t>
        </w:r>
      </w:hyperlink>
      <w:r>
        <w:t xml:space="preserve"> </w:t>
      </w:r>
      <w:r>
        <w:t xml:space="preserve">C). In addition, we found that females had higher DNA damage levels, and lipid peroxidation increased with age (see Table S4).</w:t>
      </w:r>
    </w:p>
    <w:tbl>
      <w:tblPr>
        <w:tblStyle w:val="Table"/>
        <w:tblW w:type="pct" w:w="5000"/>
        <w:tblLayout w:type="fixed"/>
        <w:tblLook w:firstRow="0" w:lastRow="0" w:firstColumn="0" w:lastColumn="0" w:noHBand="0" w:noVBand="0" w:val="0000"/>
      </w:tblPr>
      <w:tblGrid>
        <w:gridCol w:w="7920"/>
      </w:tblGrid>
      <w:tr>
        <w:tc>
          <w:tcPr/>
          <w:bookmarkStart w:id="39" w:name="fig-results_oxidative"/>
          <w:p>
            <w:pPr>
              <w:pStyle w:val="Compact"/>
              <w:jc w:val="center"/>
            </w:pPr>
            <w:r>
              <w:drawing>
                <wp:inline>
                  <wp:extent cx="5943600" cy="5943600"/>
                  <wp:effectExtent b="0" l="0" r="0" t="0"/>
                  <wp:docPr descr="" title="" id="37" name="Picture"/>
                  <a:graphic>
                    <a:graphicData uri="http://schemas.openxmlformats.org/drawingml/2006/picture">
                      <pic:pic>
                        <pic:nvPicPr>
                          <pic:cNvPr descr="./output/figures/text/results_oxidative.tiff"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X40ea9bc95f14a185467ef787ddab9d5b3a68ce8"/>
    <w:p>
      <w:pPr>
        <w:pStyle w:val="Heading4"/>
      </w:pPr>
      <w:r>
        <w:t xml:space="preserve">Do prenatal CORT and incubation temperature affect prey detection?</w:t>
      </w:r>
    </w:p>
    <w:p>
      <w:pPr>
        <w:pStyle w:val="FirstParagraph"/>
      </w:pPr>
      <w:r>
        <w:t xml:space="preserve">Models explained between 26 to 29.3 % of the variation in prey detection (see Table S1).</w:t>
      </w:r>
    </w:p>
    <w:p>
      <w:pPr>
        <w:pStyle w:val="BodyText"/>
      </w:pPr>
      <w:r>
        <w:rPr>
          <w:i/>
          <w:iCs/>
        </w:rPr>
        <w:t xml:space="preserve">Chemical stimulus</w:t>
      </w:r>
      <w:r>
        <w:t xml:space="preserve">: 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or the interaction between CORT and temperature (</w:t>
      </w:r>
      <w:hyperlink w:anchor="fig-results_behaviour">
        <w:r>
          <w:rPr>
            <w:rStyle w:val="Hyperlink"/>
          </w:rPr>
          <w:t xml:space="preserve">Fig. 4</w:t>
        </w:r>
      </w:hyperlink>
      <w:r>
        <w:t xml:space="preserve"> </w:t>
      </w:r>
      <w:r>
        <w:t xml:space="preserve">A and Table S2).</w:t>
      </w:r>
    </w:p>
    <w:tbl>
      <w:tblPr>
        <w:tblStyle w:val="Table"/>
        <w:tblW w:type="pct" w:w="5000"/>
        <w:tblLayout w:type="fixed"/>
        <w:tblLook w:firstRow="0" w:lastRow="0" w:firstColumn="0" w:lastColumn="0" w:noHBand="0" w:noVBand="0" w:val="0000"/>
      </w:tblPr>
      <w:tblGrid>
        <w:gridCol w:w="7920"/>
      </w:tblGrid>
      <w:tr>
        <w:tc>
          <w:tcPr/>
          <w:bookmarkStart w:id="44" w:name="fig-results_behaviour"/>
          <w:p>
            <w:pPr>
              <w:pStyle w:val="Compact"/>
              <w:jc w:val="center"/>
            </w:pPr>
            <w:r>
              <w:drawing>
                <wp:inline>
                  <wp:extent cx="5943600" cy="1980800"/>
                  <wp:effectExtent b="0" l="0" r="0" t="0"/>
                  <wp:docPr descr="" title="" id="42" name="Picture"/>
                  <a:graphic>
                    <a:graphicData uri="http://schemas.openxmlformats.org/drawingml/2006/picture">
                      <pic:pic>
                        <pic:nvPicPr>
                          <pic:cNvPr descr="./output/figures/text/results_behaviour.tiff"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p>
      <w:pPr>
        <w:pStyle w:val="BodyText"/>
      </w:pPr>
      <w:r>
        <w:rPr>
          <w:i/>
          <w:iCs/>
        </w:rPr>
        <w:t xml:space="preserve">Visual stimulus</w:t>
      </w:r>
      <w:r>
        <w:t xml:space="preserve">: there were no significant effects of CORT, temperature, or their interaction on the detection latency of visual stimuli (</w:t>
      </w:r>
      <w:hyperlink w:anchor="fig-results_behaviour">
        <w:r>
          <w:rPr>
            <w:rStyle w:val="Hyperlink"/>
          </w:rPr>
          <w:t xml:space="preserve">Fig. 4</w:t>
        </w:r>
      </w:hyperlink>
      <w:r>
        <w:t xml:space="preserve"> </w:t>
      </w:r>
      <w:r>
        <w:t xml:space="preserve">B and Table S2).</w:t>
      </w:r>
    </w:p>
    <w:bookmarkEnd w:id="45"/>
    <w:bookmarkStart w:id="54" w:name="Xad3d34a75cc9516947ce0a1f6d346f744dd2114"/>
    <w:p>
      <w:pPr>
        <w:pStyle w:val="Heading4"/>
      </w:pPr>
      <w:r>
        <w:t xml:space="preserve">Do metabolic function and oxidative stress compromise prey detection?</w:t>
      </w:r>
    </w:p>
    <w:p>
      <w:pPr>
        <w:pStyle w:val="FirstParagraph"/>
      </w:pPr>
      <w:r>
        <w:rPr>
          <w:i/>
          <w:iCs/>
        </w:rPr>
        <w:t xml:space="preserve">Chemical perception (Olfactory bulbs)</w:t>
      </w:r>
      <w:r>
        <w:t xml:space="preserve">: we found a significant effect of mitochondrial density on ROS production (mean β~Mit density - ROS~ = 0.864, pMCMC =0.080). However, there were no significant relationships between mitochondrial function or oxidative stress on prey detection, nor between other any other variables (see</w:t>
      </w:r>
      <w:r>
        <w:t xml:space="preserve"> </w:t>
      </w:r>
      <w:hyperlink w:anchor="fig-sem_results_OB">
        <w:r>
          <w:rPr>
            <w:rStyle w:val="Hyperlink"/>
          </w:rPr>
          <w:t xml:space="preserve">Fig. 5</w:t>
        </w:r>
      </w:hyperlink>
      <w:r>
        <w:t xml:space="preserve"> </w:t>
      </w:r>
      <w:r>
        <w:t xml:space="preserve">and Table S5).</w:t>
      </w:r>
    </w:p>
    <w:tbl>
      <w:tblPr>
        <w:tblStyle w:val="Table"/>
        <w:tblW w:type="pct" w:w="5000"/>
        <w:tblLayout w:type="fixed"/>
        <w:tblLook w:firstRow="0" w:lastRow="0" w:firstColumn="0" w:lastColumn="0" w:noHBand="0" w:noVBand="0" w:val="0000"/>
      </w:tblPr>
      <w:tblGrid>
        <w:gridCol w:w="7920"/>
      </w:tblGrid>
      <w:tr>
        <w:tc>
          <w:tcPr/>
          <w:bookmarkStart w:id="49" w:name="fig-sem_results_OB"/>
          <w:p>
            <w:pPr>
              <w:pStyle w:val="Compact"/>
              <w:jc w:val="center"/>
            </w:pPr>
            <w:r>
              <w:drawing>
                <wp:inline>
                  <wp:extent cx="5943600" cy="2122200"/>
                  <wp:effectExtent b="0" l="0" r="0" t="0"/>
                  <wp:docPr descr="" title="" id="47" name="Picture"/>
                  <a:graphic>
                    <a:graphicData uri="http://schemas.openxmlformats.org/drawingml/2006/picture">
                      <pic:pic>
                        <pic:nvPicPr>
                          <pic:cNvPr descr="./output/figures/text/SEM_OB.tiff" id="48" name="Picture"/>
                          <pic:cNvPicPr>
                            <a:picLocks noChangeArrowheads="1" noChangeAspect="1"/>
                          </pic:cNvPicPr>
                        </pic:nvPicPr>
                        <pic:blipFill>
                          <a:blip r:embed="rId46"/>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Structural Equation Models for OB/Chemical stimulus</w:t>
            </w:r>
          </w:p>
          <w:bookmarkEnd w:id="49"/>
        </w:tc>
      </w:tr>
    </w:tbl>
    <w:p>
      <w:pPr>
        <w:pStyle w:val="BodyText"/>
      </w:pPr>
      <w:r>
        <w:rPr>
          <w:i/>
          <w:iCs/>
        </w:rPr>
        <w:t xml:space="preserve">Visual perception (Optic tecta)</w:t>
      </w:r>
      <w:r>
        <w:t xml:space="preserve">: we found no significant relationships within mitochondrial variables or between mitochondrial physiology and cognitive performance (see</w:t>
      </w:r>
      <w:r>
        <w:t xml:space="preserve"> </w:t>
      </w:r>
      <w:hyperlink w:anchor="fig-sem_results_OT">
        <w:r>
          <w:rPr>
            <w:rStyle w:val="Hyperlink"/>
          </w:rPr>
          <w:t xml:space="preserve">Fig. 6</w:t>
        </w:r>
      </w:hyperlink>
      <w:r>
        <w:t xml:space="preserve"> </w:t>
      </w:r>
      <w:r>
        <w:t xml:space="preserve">and Table S6).</w:t>
      </w:r>
    </w:p>
    <w:tbl>
      <w:tblPr>
        <w:tblStyle w:val="Table"/>
        <w:tblW w:type="pct" w:w="5000"/>
        <w:tblLayout w:type="fixed"/>
        <w:tblLook w:firstRow="0" w:lastRow="0" w:firstColumn="0" w:lastColumn="0" w:noHBand="0" w:noVBand="0" w:val="0000"/>
      </w:tblPr>
      <w:tblGrid>
        <w:gridCol w:w="7920"/>
      </w:tblGrid>
      <w:tr>
        <w:tc>
          <w:tcPr/>
          <w:bookmarkStart w:id="53" w:name="fig-sem_results_OT"/>
          <w:p>
            <w:pPr>
              <w:pStyle w:val="Compact"/>
              <w:jc w:val="center"/>
            </w:pPr>
            <w:r>
              <w:drawing>
                <wp:inline>
                  <wp:extent cx="5943600" cy="2122200"/>
                  <wp:effectExtent b="0" l="0" r="0" t="0"/>
                  <wp:docPr descr="" title="" id="51" name="Picture"/>
                  <a:graphic>
                    <a:graphicData uri="http://schemas.openxmlformats.org/drawingml/2006/picture">
                      <pic:pic>
                        <pic:nvPicPr>
                          <pic:cNvPr descr="./output/figures/text/SEM_OT.tiff" id="52" name="Picture"/>
                          <pic:cNvPicPr>
                            <a:picLocks noChangeArrowheads="1" noChangeAspect="1"/>
                          </pic:cNvPicPr>
                        </pic:nvPicPr>
                        <pic:blipFill>
                          <a:blip r:embed="rId50"/>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 6— Structural Equation Models for OT/Visual stimulus</w:t>
            </w:r>
          </w:p>
          <w:bookmarkEnd w:id="53"/>
        </w:tc>
      </w:tr>
    </w:tbl>
    <w:bookmarkEnd w:id="54"/>
    <w:bookmarkEnd w:id="55"/>
    <w:bookmarkStart w:id="69" w:name="discussion"/>
    <w:p>
      <w:pPr>
        <w:pStyle w:val="Heading2"/>
      </w:pPr>
      <w:r>
        <w:t xml:space="preserve">Discussion</w:t>
      </w:r>
    </w:p>
    <w:p>
      <w:pPr>
        <w:pStyle w:val="FirstParagraph"/>
      </w:pPr>
      <w:r>
        <w:t xml:space="preserve">We examined the impact of prenatal temperature and CORT on visual and chemical perception and determined whether metabolic function was the underlying reason for any perceptual differences we observed as has been shown in mammals</w:t>
      </w:r>
      <w:r>
        <w:t xml:space="preserve"> </w:t>
      </w:r>
      <w:r>
        <w:t xml:space="preserve">[</w:t>
      </w:r>
      <w:hyperlink w:anchor="ref-chaudhari2022early">
        <w:r>
          <w:rPr>
            <w:rStyle w:val="Hyperlink"/>
          </w:rPr>
          <w:t xml:space="preserve">36</w:t>
        </w:r>
      </w:hyperlink>
      <w:r>
        <w:t xml:space="preserve">,</w:t>
      </w:r>
      <w:hyperlink w:anchor="ref-hara_presynaptic_2014">
        <w:r>
          <w:rPr>
            <w:rStyle w:val="Hyperlink"/>
          </w:rPr>
          <w:t xml:space="preserve">37</w:t>
        </w:r>
      </w:hyperlink>
      <w:r>
        <w:t xml:space="preserve">]</w:t>
      </w:r>
      <w:r>
        <w:t xml:space="preserve">. Our findings suggest that metabolic processes remained largely resilient to early environmental conditions. However, early-life conditions have region- and context-dependent effects on oxidative damage and prey detection. We observed interactive effects of prenatal CORT and incubation temperature on oxidative damage in the Optic Tecta, but no effects on perception of visual stimuli. In contrast, CORT decreased the time to perceive chemical stimuli despite the resilience of the Olfactory bulbs to prenatal conditions. Below, we discuss these findings in relation to mitochondrial metabolic function, oxidative stress, and behavioural performance.</w:t>
      </w:r>
    </w:p>
    <w:bookmarkStart w:id="56" w:name="X698cb608f73e285b750baa380a4e3cbe167f8c3"/>
    <w:p>
      <w:pPr>
        <w:pStyle w:val="Heading4"/>
      </w:pPr>
      <w:r>
        <w:t xml:space="preserve">Metabolic processes in multiple brain regions are robust to early life conditions</w:t>
      </w:r>
    </w:p>
    <w:p>
      <w:pPr>
        <w:pStyle w:val="FirstParagraph"/>
      </w:pPr>
      <w:r>
        <w:t xml:space="preserve">Contrary to our predictions, we found no significant effects of early environmental conditions on mitochondrial density, metabolic capacity, or ROS production in either of the brain regions studied. In the leopard gecko (</w:t>
      </w:r>
      <w:r>
        <w:rPr>
          <w:i/>
          <w:iCs/>
        </w:rPr>
        <w:t xml:space="preserve">Eublepharis macularius</w:t>
      </w:r>
      <w:r>
        <w:t xml:space="preserve">), incubation temperature is an important determinant of metabolic capacity in some, but not all, brain nuclei</w:t>
      </w:r>
      <w:r>
        <w:t xml:space="preserve"> </w:t>
      </w:r>
      <w:r>
        <w:t xml:space="preserve">[</w:t>
      </w:r>
      <w:hyperlink w:anchor="ref-coomber_independent_1997">
        <w:r>
          <w:rPr>
            <w:rStyle w:val="Hyperlink"/>
          </w:rPr>
          <w:t xml:space="preserve">38</w:t>
        </w:r>
      </w:hyperlink>
      <w:r>
        <w:t xml:space="preserve">]</w:t>
      </w:r>
      <w:r>
        <w:t xml:space="preserve">, while prenatal stress decreases mitochondrial respiration efficiency in the cortex, hippocampus, and hypotalamus of rats (</w:t>
      </w:r>
      <w:r>
        <w:rPr>
          <w:i/>
          <w:iCs/>
        </w:rPr>
        <w:t xml:space="preserve">Rattus norvegicus</w:t>
      </w:r>
      <w:r>
        <w:t xml:space="preserve">)</w:t>
      </w:r>
      <w:r>
        <w:t xml:space="preserve"> </w:t>
      </w:r>
      <w:r>
        <w:t xml:space="preserve">[</w:t>
      </w:r>
      <w:hyperlink w:anchor="ref-gong_chronic_2011">
        <w:r>
          <w:rPr>
            <w:rStyle w:val="Hyperlink"/>
          </w:rPr>
          <w:t xml:space="preserve">26</w:t>
        </w:r>
      </w:hyperlink>
      <w:r>
        <w:t xml:space="preserve">]</w:t>
      </w:r>
      <w:r>
        <w:t xml:space="preserve">. In contrast, metabolic processes in the optic tecta and olfactory bulbs of</w:t>
      </w:r>
      <w:r>
        <w:t xml:space="preserve"> </w:t>
      </w:r>
      <w:r>
        <w:rPr>
          <w:i/>
          <w:iCs/>
        </w:rPr>
        <w:t xml:space="preserve">L. delicata</w:t>
      </w:r>
      <w:r>
        <w:t xml:space="preserve"> </w:t>
      </w:r>
      <w:r>
        <w:t xml:space="preserve">appear to be robust to early-life conditions, potentially to ensure that these brain regions can perform their essential functions. However, since the effects of early environment can be region-dependent</w:t>
      </w:r>
      <w:r>
        <w:t xml:space="preserve"> </w:t>
      </w:r>
      <w:r>
        <w:t xml:space="preserve">[</w:t>
      </w:r>
      <w:hyperlink w:anchor="ref-coomber_independent_1997">
        <w:r>
          <w:rPr>
            <w:rStyle w:val="Hyperlink"/>
          </w:rPr>
          <w:t xml:space="preserve">38</w:t>
        </w:r>
      </w:hyperlink>
      <w:r>
        <w:t xml:space="preserve">]</w:t>
      </w:r>
      <w:r>
        <w:t xml:space="preserve">, it is possible that other brain regions not examined here may be more sensitive to prenatal CORT and temperature.</w:t>
      </w:r>
    </w:p>
    <w:p>
      <w:pPr>
        <w:pStyle w:val="BodyText"/>
      </w:pPr>
      <w:r>
        <w:t xml:space="preserve">Alternatively, the effects of early environmental conditions on metabolic function and ROS production may be immediate rather than long-lasting. Mitochondria are known to be highly responsive to environmental changes and energetic demands</w:t>
      </w:r>
      <w:r>
        <w:t xml:space="preserve"> </w:t>
      </w:r>
      <w:r>
        <w:t xml:space="preserve">[</w:t>
      </w:r>
      <w:hyperlink w:anchor="ref-gyllenhammer2020developmental">
        <w:r>
          <w:rPr>
            <w:rStyle w:val="Hyperlink"/>
          </w:rPr>
          <w:t xml:space="preserve">28</w:t>
        </w:r>
      </w:hyperlink>
      <w:r>
        <w:t xml:space="preserve">]</w:t>
      </w:r>
      <w:r>
        <w:t xml:space="preserve">. It is possible that the metabolic effect of the early-life conditions dissipated once all animals were exposed to the same environment after hatching. Nonetheless, alterations in metabolic function during earlier stages would still be expected to affect oxidative damage, as these processes are cumulative and can lead to long-term consequences</w:t>
      </w:r>
      <w:r>
        <w:t xml:space="preserve"> </w:t>
      </w:r>
      <w:r>
        <w:t xml:space="preserve">[</w:t>
      </w:r>
      <w:hyperlink w:anchor="ref-rice2002brain">
        <w:r>
          <w:rPr>
            <w:rStyle w:val="Hyperlink"/>
          </w:rPr>
          <w:t xml:space="preserve">51</w:t>
        </w:r>
      </w:hyperlink>
      <w:r>
        <w:t xml:space="preserve">,</w:t>
      </w:r>
      <w:hyperlink w:anchor="ref-terman2006oxidative">
        <w:r>
          <w:rPr>
            <w:rStyle w:val="Hyperlink"/>
          </w:rPr>
          <w:t xml:space="preserve">52</w:t>
        </w:r>
      </w:hyperlink>
      <w:r>
        <w:t xml:space="preserve">]</w:t>
      </w:r>
      <w:r>
        <w:t xml:space="preserve">.</w:t>
      </w:r>
    </w:p>
    <w:bookmarkEnd w:id="56"/>
    <w:bookmarkStart w:id="57" w:name="X923368185fdbc8ef6bd961a7b66f013dc6d1b37"/>
    <w:p>
      <w:pPr>
        <w:pStyle w:val="Heading4"/>
      </w:pPr>
      <w:r>
        <w:t xml:space="preserve">Oxidative stress brought about by experiencing early life CORT are region- and temperature- dependent</w:t>
      </w:r>
    </w:p>
    <w:p>
      <w:pPr>
        <w:pStyle w:val="FirstParagraph"/>
      </w:pPr>
      <w:r>
        <w:t xml:space="preserve">We found that DNA damage and lipid peroxidation were affected in region-specific ways. Early conditions did not significantly influence oxidative stress in the olfactory bulbs, but had a pronounced effect on DNA damage and lipid peroxidation in the optic tecta.</w:t>
      </w:r>
    </w:p>
    <w:p>
      <w:pPr>
        <w:pStyle w:val="BodyText"/>
      </w:pPr>
      <w:r>
        <w:t xml:space="preserve">CORT exposure reduced DNA damage in optic tecta from cold-incubated lizards but had no effect at higher incubation temperatures. This pattern suggests that CORT might play a protective role under specific thermal conditions. Since CORT helps mobilize energy resources to facilitate physiological adjustments to stress</w:t>
      </w:r>
      <w:r>
        <w:t xml:space="preserve"> </w:t>
      </w:r>
      <w:r>
        <w:t xml:space="preserve">[</w:t>
      </w:r>
      <w:hyperlink w:anchor="ref-sapolsky_how_2000">
        <w:r>
          <w:rPr>
            <w:rStyle w:val="Hyperlink"/>
          </w:rPr>
          <w:t xml:space="preserve">29</w:t>
        </w:r>
      </w:hyperlink>
      <w:r>
        <w:t xml:space="preserve">]</w:t>
      </w:r>
      <w:r>
        <w:t xml:space="preserve">, it is possible that under colder incubation conditions — where metabolic rates are expected to be lower — energy mobilised by CORT may be allocated towards antioxidant activity or DNA repairing mechanisms</w:t>
      </w:r>
      <w:r>
        <w:t xml:space="preserve"> </w:t>
      </w:r>
      <w:r>
        <w:t xml:space="preserve">[</w:t>
      </w:r>
      <w:hyperlink w:anchor="ref-kawamura1991glucocorticoid">
        <w:r>
          <w:rPr>
            <w:rStyle w:val="Hyperlink"/>
          </w:rPr>
          <w:t xml:space="preserve">53</w:t>
        </w:r>
      </w:hyperlink>
      <w:r>
        <w:t xml:space="preserve">,but see</w:t>
      </w:r>
      <w:r>
        <w:t xml:space="preserve"> </w:t>
      </w:r>
      <w:hyperlink w:anchor="ref-mcintosh1998glucocorticoids">
        <w:r>
          <w:rPr>
            <w:rStyle w:val="Hyperlink"/>
          </w:rPr>
          <w:t xml:space="preserve">54</w:t>
        </w:r>
      </w:hyperlink>
      <w:r>
        <w:t xml:space="preserve">]</w:t>
      </w:r>
      <w:r>
        <w:t xml:space="preserve">. In contrast, at higher temperatures, the increased metabolic demands may limit the availability of resources for such protective mechanisms</w:t>
      </w:r>
      <w:r>
        <w:t xml:space="preserve"> </w:t>
      </w:r>
      <w:r>
        <w:t xml:space="preserve">[see</w:t>
      </w:r>
      <w:r>
        <w:t xml:space="preserve"> </w:t>
      </w:r>
      <w:hyperlink w:anchor="ref-kim2019carry">
        <w:r>
          <w:rPr>
            <w:rStyle w:val="Hyperlink"/>
          </w:rPr>
          <w:t xml:space="preserve">55</w:t>
        </w:r>
      </w:hyperlink>
      <w:r>
        <w:t xml:space="preserve">]</w:t>
      </w:r>
      <w:r>
        <w:t xml:space="preserve">.</w:t>
      </w:r>
    </w:p>
    <w:p>
      <w:pPr>
        <w:pStyle w:val="BodyText"/>
      </w:pPr>
      <w:r>
        <w:t xml:space="preserve">In comparison, increased prenatal CORT resulted in higher lipid peroxidation in cold incubated lizards but reduced it in those incubated at warm temperatures. Although the two hormonal treatments did not significantly differ within each incubation temperature, the direction of the CORT effect was the opposite between temperatures. These contrasting CORT–temperature effects on DNA damage and lipid peroxidation suggest that the pathways protecting or repairing each molecule may vary in their thermal sensitivity. For instance, antioxidant enzymes differ in their response to hibernation in the soft-shelled turtle (</w:t>
      </w:r>
      <w:r>
        <w:rPr>
          <w:i/>
          <w:iCs/>
        </w:rPr>
        <w:t xml:space="preserve">Pelodiscus sinensis</w:t>
      </w:r>
      <w:r>
        <w:t xml:space="preserve">), indicating that thermal sensitivity varies among antioxidant system components</w:t>
      </w:r>
      <w:r>
        <w:t xml:space="preserve"> </w:t>
      </w:r>
      <w:r>
        <w:t xml:space="preserve">[</w:t>
      </w:r>
      <w:hyperlink w:anchor="ref-tang2021antioxidant">
        <w:r>
          <w:rPr>
            <w:rStyle w:val="Hyperlink"/>
          </w:rPr>
          <w:t xml:space="preserve">56</w:t>
        </w:r>
      </w:hyperlink>
      <w:r>
        <w:t xml:space="preserve">]</w:t>
      </w:r>
      <w:r>
        <w:t xml:space="preserve">. An alternative mechanism might involve temperature-dependent changes in membrane lipid composition or fluidity, which may affect how lipids respond to oxidative stress</w:t>
      </w:r>
      <w:r>
        <w:t xml:space="preserve"> </w:t>
      </w:r>
      <w:r>
        <w:t xml:space="preserve">[</w:t>
      </w:r>
      <w:hyperlink w:anchor="ref-zeis2019temperature">
        <w:r>
          <w:rPr>
            <w:rStyle w:val="Hyperlink"/>
          </w:rPr>
          <w:t xml:space="preserve">57</w:t>
        </w:r>
      </w:hyperlink>
      <w:r>
        <w:t xml:space="preserve">]</w:t>
      </w:r>
      <w:r>
        <w:t xml:space="preserve">. For example, lipid peroxidation levels increased in cold-acclimated</w:t>
      </w:r>
      <w:r>
        <w:t xml:space="preserve"> </w:t>
      </w:r>
      <w:r>
        <w:rPr>
          <w:i/>
          <w:iCs/>
        </w:rPr>
        <w:t xml:space="preserve">Daphnia magna</w:t>
      </w:r>
      <w:r>
        <w:t xml:space="preserve"> </w:t>
      </w:r>
      <w:r>
        <w:t xml:space="preserve">likely because of higher concentration of polyunsaturated fatty acids</w:t>
      </w:r>
      <w:r>
        <w:t xml:space="preserve"> </w:t>
      </w:r>
      <w:r>
        <w:t xml:space="preserve">[</w:t>
      </w:r>
      <w:hyperlink w:anchor="ref-zeis2019temperature">
        <w:r>
          <w:rPr>
            <w:rStyle w:val="Hyperlink"/>
          </w:rPr>
          <w:t xml:space="preserve">57</w:t>
        </w:r>
      </w:hyperlink>
      <w:r>
        <w:t xml:space="preserve">]</w:t>
      </w:r>
      <w:r>
        <w:t xml:space="preserve">. Therefore, temperature-induced structural differences may influence the vulnerability of different molecules to oxidative stress.</w:t>
      </w:r>
    </w:p>
    <w:bookmarkEnd w:id="57"/>
    <w:bookmarkStart w:id="58" w:name="Xc9e31733620b77664f9a56f8c188eb6e8d95059"/>
    <w:p>
      <w:pPr>
        <w:pStyle w:val="Heading4"/>
      </w:pPr>
      <w:r>
        <w:t xml:space="preserve">Prenatal CORT exposure enhances chemical but not visual prey detection</w:t>
      </w:r>
    </w:p>
    <w:p>
      <w:pPr>
        <w:pStyle w:val="FirstParagraph"/>
      </w:pPr>
      <w:r>
        <w:t xml:space="preserve">Detection latency decreased with CORT exposure when animals were presented with chemical, but not visual, stimuli. This effect was not related to alterations in mitochondrial physiology in the olfactory bulbs. Instead, prenatal CORT may influence other mechanisms involved in chemoreception. For instance, in rats (</w:t>
      </w:r>
      <w:r>
        <w:rPr>
          <w:i/>
          <w:iCs/>
        </w:rPr>
        <w:t xml:space="preserve">R. norvegicus</w:t>
      </w:r>
      <w:r>
        <w:t xml:space="preserve">), GCs like dexamethasone can enchance the ability to detect chemical stimuli by upregulating gene expression in the olfactory mucosa</w:t>
      </w:r>
      <w:r>
        <w:t xml:space="preserve"> </w:t>
      </w:r>
      <w:r>
        <w:t xml:space="preserve">[</w:t>
      </w:r>
      <w:hyperlink w:anchor="ref-meunier2020olfactory">
        <w:r>
          <w:rPr>
            <w:rStyle w:val="Hyperlink"/>
          </w:rPr>
          <w:t xml:space="preserve">58</w:t>
        </w:r>
      </w:hyperlink>
      <w:r>
        <w:t xml:space="preserve">]</w:t>
      </w:r>
      <w:r>
        <w:t xml:space="preserve">. Such molecular changes could alter chemosensory sensitivity in lizards, independent of mitochondrial function.</w:t>
      </w:r>
    </w:p>
    <w:p>
      <w:pPr>
        <w:pStyle w:val="BodyText"/>
      </w:pPr>
      <w:r>
        <w:t xml:space="preserve">Alternatively, the observed differences in chemical perception may be driven by motivation. Prenatal CORT is expected to increase hunger through resource mobilization</w:t>
      </w:r>
      <w:r>
        <w:t xml:space="preserve"> </w:t>
      </w:r>
      <w:r>
        <w:t xml:space="preserve">[</w:t>
      </w:r>
      <w:hyperlink w:anchor="ref-spencer2008post">
        <w:r>
          <w:rPr>
            <w:rStyle w:val="Hyperlink"/>
          </w:rPr>
          <w:t xml:space="preserve">59</w:t>
        </w:r>
      </w:hyperlink>
      <w:r>
        <w:t xml:space="preserve">,</w:t>
      </w:r>
      <w:hyperlink w:anchor="ref-cossin-sevrin_effect_2022">
        <w:r>
          <w:rPr>
            <w:rStyle w:val="Hyperlink"/>
          </w:rPr>
          <w:t xml:space="preserve">60</w:t>
        </w:r>
      </w:hyperlink>
      <w:r>
        <w:t xml:space="preserve">,but see</w:t>
      </w:r>
      <w:r>
        <w:t xml:space="preserve"> </w:t>
      </w:r>
      <w:hyperlink w:anchor="ref-crino_corticosterone_2014-learn">
        <w:r>
          <w:rPr>
            <w:rStyle w:val="Hyperlink"/>
          </w:rPr>
          <w:t xml:space="preserve">5</w:t>
        </w:r>
      </w:hyperlink>
      <w:r>
        <w:t xml:space="preserve">]</w:t>
      </w:r>
      <w:r>
        <w:t xml:space="preserve">. This could have led to increased motivation in CORT-treated lizards, stimulating a switch to a more active foraging mode, affecting the way they respond to chemical stimuli. For example, species of European lizards (family Lacertidae) that spend more time actively looking for food tend to rely more on chemoreception</w:t>
      </w:r>
      <w:r>
        <w:t xml:space="preserve"> </w:t>
      </w:r>
      <w:r>
        <w:t xml:space="preserve">[</w:t>
      </w:r>
      <w:hyperlink w:anchor="ref-verwaijen2007relationships">
        <w:r>
          <w:rPr>
            <w:rStyle w:val="Hyperlink"/>
          </w:rPr>
          <w:t xml:space="preserve">61</w:t>
        </w:r>
      </w:hyperlink>
      <w:r>
        <w:t xml:space="preserve">]</w:t>
      </w:r>
      <w:r>
        <w:t xml:space="preserve">. Although we fasted lizards and controlled for motivation in our analyses, it is possible that we did not fully capture factors related to the ecological relevance of the cues, the animals’ internal state, or the interaction between the two. Further studies need to be conducted to understand how CORT can change foraging strategies in lizards and how this can affect their perception abilities.</w:t>
      </w:r>
    </w:p>
    <w:bookmarkEnd w:id="58"/>
    <w:bookmarkStart w:id="59" w:name="Xadff9f850ad97faca52c7033de6d6911007a9b5"/>
    <w:p>
      <w:pPr>
        <w:pStyle w:val="Heading4"/>
      </w:pPr>
      <w:r>
        <w:t xml:space="preserve">Mitochondrial function and oxidative stress do not affect detection abilities</w:t>
      </w:r>
    </w:p>
    <w:p>
      <w:pPr>
        <w:pStyle w:val="FirstParagraph"/>
      </w:pPr>
      <w:r>
        <w:t xml:space="preserve">Mitochondria are predicted to impact cognitive performance by providing energy for neural activity or by regulating oxidative stress</w:t>
      </w:r>
      <w:r>
        <w:t xml:space="preserve"> </w:t>
      </w:r>
      <w:r>
        <w:t xml:space="preserve">[</w:t>
      </w:r>
      <w:hyperlink w:anchor="ref-siegel1994basic">
        <w:r>
          <w:rPr>
            <w:rStyle w:val="Hyperlink"/>
          </w:rPr>
          <w:t xml:space="preserve">17</w:t>
        </w:r>
      </w:hyperlink>
      <w:r>
        <w:t xml:space="preserve">–</w:t>
      </w:r>
      <w:hyperlink w:anchor="ref-alexandrov_neuronal_2022">
        <w:r>
          <w:rPr>
            <w:rStyle w:val="Hyperlink"/>
          </w:rPr>
          <w:t xml:space="preserve">23</w:t>
        </w:r>
      </w:hyperlink>
      <w:r>
        <w:t xml:space="preserve">]</w:t>
      </w:r>
      <w:r>
        <w:t xml:space="preserve">. For example, reduced cytochrome c oxidase (COX) activity in dopaminergic neurons of the olfactory bulb of mice (</w:t>
      </w:r>
      <w:r>
        <w:rPr>
          <w:i/>
          <w:iCs/>
        </w:rPr>
        <w:t xml:space="preserve">Mus musculus</w:t>
      </w:r>
      <w:r>
        <w:t xml:space="preserve">) is associated with impaired olfactory capacities</w:t>
      </w:r>
      <w:r>
        <w:t xml:space="preserve"> </w:t>
      </w:r>
      <w:r>
        <w:t xml:space="preserve">[</w:t>
      </w:r>
      <w:hyperlink w:anchor="ref-pass2020impact">
        <w:r>
          <w:rPr>
            <w:rStyle w:val="Hyperlink"/>
          </w:rPr>
          <w:t xml:space="preserve">62</w:t>
        </w:r>
      </w:hyperlink>
      <w:r>
        <w:t xml:space="preserve">]</w:t>
      </w:r>
      <w:r>
        <w:t xml:space="preserve">, and links between brain metabolic function and visual acuity have also been reported in other species</w:t>
      </w:r>
      <w:r>
        <w:t xml:space="preserve"> </w:t>
      </w:r>
      <w:r>
        <w:t xml:space="preserve">[reviewed in</w:t>
      </w:r>
      <w:r>
        <w:t xml:space="preserve"> </w:t>
      </w:r>
      <w:hyperlink w:anchor="ref-wong2010energy">
        <w:r>
          <w:rPr>
            <w:rStyle w:val="Hyperlink"/>
          </w:rPr>
          <w:t xml:space="preserve">63</w:t>
        </w:r>
      </w:hyperlink>
      <w:r>
        <w:t xml:space="preserve">]</w:t>
      </w:r>
      <w:r>
        <w:t xml:space="preserve">. However, metabolic function did not explain variation in prey detection in</w:t>
      </w:r>
      <w:r>
        <w:t xml:space="preserve"> </w:t>
      </w:r>
      <w:r>
        <w:rPr>
          <w:i/>
          <w:iCs/>
        </w:rPr>
        <w:t xml:space="preserve">L. delicata</w:t>
      </w:r>
      <w:r>
        <w:t xml:space="preserve">. In contrast, our results suggests that metabolic function is not a limiting factor for prey detection in</w:t>
      </w:r>
      <w:r>
        <w:t xml:space="preserve"> </w:t>
      </w:r>
      <w:r>
        <w:rPr>
          <w:i/>
          <w:iCs/>
        </w:rPr>
        <w:t xml:space="preserve">L. delicata</w:t>
      </w:r>
      <w:r>
        <w:t xml:space="preserve">, or that</w:t>
      </w:r>
      <w:r>
        <w:t xml:space="preserve"> </w:t>
      </w:r>
      <w:r>
        <w:rPr>
          <w:i/>
          <w:iCs/>
        </w:rPr>
        <w:t xml:space="preserve">L. delicata</w:t>
      </w:r>
      <w:r>
        <w:t xml:space="preserve"> </w:t>
      </w:r>
      <w:r>
        <w:t xml:space="preserve">can sustain this cognitive function despite fluctuations in energy availability.</w:t>
      </w:r>
    </w:p>
    <w:p>
      <w:pPr>
        <w:pStyle w:val="BodyText"/>
      </w:pPr>
      <w:r>
        <w:t xml:space="preserve">Similarly, oxidative stress did not influence</w:t>
      </w:r>
      <w:r>
        <w:t xml:space="preserve"> </w:t>
      </w:r>
      <w:r>
        <w:rPr>
          <w:i/>
          <w:iCs/>
        </w:rPr>
        <w:t xml:space="preserve">L. delicata</w:t>
      </w:r>
      <w:r>
        <w:t xml:space="preserve"> </w:t>
      </w:r>
      <w:r>
        <w:t xml:space="preserve">ability to detect visual or chemical stimuli from prey. In this regard, oxidative damage is expected to decrease cognitive abilities through neuron death or senescense</w:t>
      </w:r>
      <w:r>
        <w:t xml:space="preserve"> </w:t>
      </w:r>
      <w:r>
        <w:t xml:space="preserve">[</w:t>
      </w:r>
      <w:hyperlink w:anchor="ref-zhu_prenatal_2004">
        <w:r>
          <w:rPr>
            <w:rStyle w:val="Hyperlink"/>
          </w:rPr>
          <w:t xml:space="preserve">4</w:t>
        </w:r>
      </w:hyperlink>
      <w:r>
        <w:t xml:space="preserve">,</w:t>
      </w:r>
      <w:hyperlink w:anchor="ref-du_dynamic_2009">
        <w:r>
          <w:rPr>
            <w:rStyle w:val="Hyperlink"/>
          </w:rPr>
          <w:t xml:space="preserve">18</w:t>
        </w:r>
      </w:hyperlink>
      <w:r>
        <w:t xml:space="preserve">,</w:t>
      </w:r>
      <w:hyperlink w:anchor="ref-finkel_oxidants_2000">
        <w:r>
          <w:rPr>
            <w:rStyle w:val="Hyperlink"/>
          </w:rPr>
          <w:t xml:space="preserve">25</w:t>
        </w:r>
      </w:hyperlink>
      <w:r>
        <w:t xml:space="preserve">–</w:t>
      </w:r>
      <w:hyperlink w:anchor="ref-hoffmann_mitochondrion_2018">
        <w:r>
          <w:rPr>
            <w:rStyle w:val="Hyperlink"/>
          </w:rPr>
          <w:t xml:space="preserve">27</w:t>
        </w:r>
      </w:hyperlink>
      <w:r>
        <w:t xml:space="preserve">]</w:t>
      </w:r>
      <w:r>
        <w:t xml:space="preserve">. Possibly, the levels of oxidative damage observed in our study were not sufficient to impair prey detection either because of compensatory mechanisms - such as antioxidant activity - that counteracted the negative effects of oxidative stress, or because the studied brain regions had a high neural density that provided functional resilience</w:t>
      </w:r>
      <w:r>
        <w:t xml:space="preserve"> </w:t>
      </w:r>
      <w:r>
        <w:t xml:space="preserve">[</w:t>
      </w:r>
      <w:hyperlink w:anchor="ref-rice2002brain">
        <w:r>
          <w:rPr>
            <w:rStyle w:val="Hyperlink"/>
          </w:rPr>
          <w:t xml:space="preserve">51</w:t>
        </w:r>
      </w:hyperlink>
      <w:r>
        <w:t xml:space="preserve">,</w:t>
      </w:r>
      <w:hyperlink w:anchor="ref-amiel_smart_2011">
        <w:r>
          <w:rPr>
            <w:rStyle w:val="Hyperlink"/>
          </w:rPr>
          <w:t xml:space="preserve">64</w:t>
        </w:r>
      </w:hyperlink>
      <w:r>
        <w:t xml:space="preserve">]</w:t>
      </w:r>
      <w:r>
        <w:t xml:space="preserve">. Alternatively, the cognitive effects of oxidative stress may not yet be detectable at this stage. Oxidative damage accumulates over time, and its effects on cognition can pronounce with age</w:t>
      </w:r>
      <w:r>
        <w:t xml:space="preserve"> </w:t>
      </w:r>
      <w:r>
        <w:t xml:space="preserve">[</w:t>
      </w:r>
      <w:hyperlink w:anchor="ref-hara_presynaptic_2014">
        <w:r>
          <w:rPr>
            <w:rStyle w:val="Hyperlink"/>
          </w:rPr>
          <w:t xml:space="preserve">37</w:t>
        </w:r>
      </w:hyperlink>
      <w:r>
        <w:t xml:space="preserve">,</w:t>
      </w:r>
      <w:hyperlink w:anchor="ref-terman2006oxidative">
        <w:r>
          <w:rPr>
            <w:rStyle w:val="Hyperlink"/>
          </w:rPr>
          <w:t xml:space="preserve">52</w:t>
        </w:r>
      </w:hyperlink>
      <w:r>
        <w:t xml:space="preserve">]</w:t>
      </w:r>
      <w:r>
        <w:t xml:space="preserve">. As such, we could find a strong relationship if older individuals were employed, but not in lizards this age. In fact, we saw a significant effect of age on DNA damage in olfactory bulbs, and on lipid peroxidation in both regions. Cross-sectional studies across life stages may help reveal how oxidative damage shapes cognitive function over time.</w:t>
      </w:r>
    </w:p>
    <w:bookmarkEnd w:id="59"/>
    <w:bookmarkStart w:id="60" w:name="conclusions"/>
    <w:p>
      <w:pPr>
        <w:pStyle w:val="Heading4"/>
      </w:pPr>
      <w:r>
        <w:t xml:space="preserve">Conclusions</w:t>
      </w:r>
    </w:p>
    <w:p>
      <w:pPr>
        <w:pStyle w:val="FirstParagraph"/>
      </w:pPr>
      <w:r>
        <w:t xml:space="preserve">Prenatal incubation and CORT exposure had region-specific effects in the brain of</w:t>
      </w:r>
      <w:r>
        <w:t xml:space="preserve"> </w:t>
      </w:r>
      <w:r>
        <w:rPr>
          <w:i/>
          <w:iCs/>
        </w:rPr>
        <w:t xml:space="preserve">L. delicata</w:t>
      </w:r>
      <w:r>
        <w:t xml:space="preserve">. While mitochondrial function remained resilient to early environmental conditions, oxidative damage and behavioural responses exhibited context-dependent variations. Our findings suggest that the brain regions studied are not directly related to the behaviours tested, or that other factors, like motivation, are more relevant for detecting prey stimuli. Future studies should explore how the environment influences mitochondrial function accross tissues, as well as the mechanisms underlying the brain’s resilience to early-life conditions.</w:t>
      </w:r>
    </w:p>
    <w:bookmarkEnd w:id="60"/>
    <w:bookmarkStart w:id="61"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(A2022/33).</w:t>
      </w:r>
    </w:p>
    <w:bookmarkEnd w:id="61"/>
    <w:bookmarkStart w:id="63"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62">
        <w:r>
          <w:rPr>
            <w:rStyle w:val="Hyperlink"/>
          </w:rPr>
          <w:t xml:space="preserve">https://github.com/Pablo-Recio/CORT-Temp_PreyD</w:t>
        </w:r>
      </w:hyperlink>
      <w:r>
        <w:t xml:space="preserve">.</w:t>
      </w:r>
    </w:p>
    <w:bookmarkEnd w:id="63"/>
    <w:bookmarkStart w:id="64" w:name="declaration-of-ai-use"/>
    <w:p>
      <w:pPr>
        <w:pStyle w:val="Heading3"/>
      </w:pPr>
      <w:r>
        <w:t xml:space="preserve">Declaration of AI use</w:t>
      </w:r>
    </w:p>
    <w:p>
      <w:pPr>
        <w:pStyle w:val="FirstParagraph"/>
      </w:pPr>
      <w:r>
        <w:t xml:space="preserve">We declare Chat GPT was used mainly for questions related to coding and data analyses. All other parts of the manuscript were written by the authors and those parts where AI was used were checked and modified accordingly by the authors.</w:t>
      </w:r>
    </w:p>
    <w:bookmarkEnd w:id="64"/>
    <w:bookmarkStart w:id="65"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65"/>
    <w:bookmarkStart w:id="66" w:name="conflict-of-interest-declaration"/>
    <w:p>
      <w:pPr>
        <w:pStyle w:val="Heading3"/>
      </w:pPr>
      <w:r>
        <w:t xml:space="preserve">Conflict of interest declaration</w:t>
      </w:r>
    </w:p>
    <w:p>
      <w:pPr>
        <w:pStyle w:val="FirstParagraph"/>
      </w:pPr>
      <w:r>
        <w:t xml:space="preserve">We declare we have no competing interests.</w:t>
      </w:r>
    </w:p>
    <w:bookmarkEnd w:id="66"/>
    <w:bookmarkStart w:id="67"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67"/>
    <w:bookmarkStart w:id="68"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68"/>
    <w:bookmarkEnd w:id="69"/>
    <w:bookmarkStart w:id="162" w:name="references"/>
    <w:p>
      <w:pPr>
        <w:pStyle w:val="Heading1"/>
      </w:pPr>
      <w:r>
        <w:t xml:space="preserve">References</w:t>
      </w:r>
    </w:p>
    <w:bookmarkStart w:id="161" w:name="refs"/>
    <w:bookmarkStart w:id="70" w:name="ref-shettleworth"/>
    <w:p>
      <w:pPr>
        <w:pStyle w:val="Bibliography"/>
      </w:pPr>
      <w:r>
        <w:t xml:space="preserve">1.</w:t>
      </w:r>
      <w:r>
        <w:t xml:space="preserve"> </w:t>
      </w:r>
      <w:r>
        <w:t xml:space="preserve">	</w:t>
      </w:r>
      <w:r>
        <w:t xml:space="preserve">Shettleworth SJ. 2010</w:t>
      </w:r>
      <w:r>
        <w:t xml:space="preserve"> </w:t>
      </w:r>
      <w:r>
        <w:rPr>
          <w:i/>
          <w:iCs/>
        </w:rPr>
        <w:t xml:space="preserve">Cognition, evolution, and behaviour</w:t>
      </w:r>
      <w:r>
        <w:t xml:space="preserve">. 2nd edn. Oxford University Press.</w:t>
      </w:r>
      <w:r>
        <w:t xml:space="preserve"> </w:t>
      </w:r>
    </w:p>
    <w:bookmarkEnd w:id="70"/>
    <w:bookmarkStart w:id="72"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
          <w:iCs/>
        </w:rPr>
        <w:t xml:space="preserve">Annual Review of Ecology, Evolution, and Systematics</w:t>
      </w:r>
      <w:r>
        <w:t xml:space="preserve"> </w:t>
      </w:r>
      <w:r>
        <w:rPr>
          <w:b/>
          <w:bCs/>
        </w:rPr>
        <w:t xml:space="preserve">35</w:t>
      </w:r>
      <w:r>
        <w:t xml:space="preserve">, 347–374. (doi:</w:t>
      </w:r>
      <w:hyperlink r:id="rId71">
        <w:r>
          <w:rPr>
            <w:rStyle w:val="Hyperlink"/>
          </w:rPr>
          <w:t xml:space="preserve">10.1146/annurev.ecolsys.35.112202.130152</w:t>
        </w:r>
      </w:hyperlink>
      <w:r>
        <w:t xml:space="preserve">)</w:t>
      </w:r>
    </w:p>
    <w:bookmarkEnd w:id="72"/>
    <w:bookmarkStart w:id="73"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
          <w:iCs/>
        </w:rPr>
        <w:t xml:space="preserve">Brain, Behavior and Evolution</w:t>
      </w:r>
      <w:r>
        <w:t xml:space="preserve">, 139–151.</w:t>
      </w:r>
    </w:p>
    <w:bookmarkEnd w:id="73"/>
    <w:bookmarkStart w:id="75"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
          <w:iCs/>
        </w:rPr>
        <w:t xml:space="preserve">Journal of Neuroscience Research</w:t>
      </w:r>
      <w:r>
        <w:t xml:space="preserve"> </w:t>
      </w:r>
      <w:r>
        <w:rPr>
          <w:b/>
          <w:bCs/>
        </w:rPr>
        <w:t xml:space="preserve">78</w:t>
      </w:r>
      <w:r>
        <w:t xml:space="preserve">, 837–844. (doi:</w:t>
      </w:r>
      <w:hyperlink r:id="rId74">
        <w:r>
          <w:rPr>
            <w:rStyle w:val="Hyperlink"/>
          </w:rPr>
          <w:t xml:space="preserve">10.1002/jnr.20338</w:t>
        </w:r>
      </w:hyperlink>
      <w:r>
        <w:t xml:space="preserve">)</w:t>
      </w:r>
    </w:p>
    <w:bookmarkEnd w:id="75"/>
    <w:bookmarkStart w:id="77"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
          <w:iCs/>
        </w:rPr>
        <w:t xml:space="preserve">Animal Behaviour</w:t>
      </w:r>
      <w:r>
        <w:t xml:space="preserve"> </w:t>
      </w:r>
      <w:r>
        <w:rPr>
          <w:b/>
          <w:bCs/>
        </w:rPr>
        <w:t xml:space="preserve">91</w:t>
      </w:r>
      <w:r>
        <w:t xml:space="preserve">, 27–32. (doi:</w:t>
      </w:r>
      <w:hyperlink r:id="rId76">
        <w:r>
          <w:rPr>
            <w:rStyle w:val="Hyperlink"/>
          </w:rPr>
          <w:t xml:space="preserve">10.1016/j.anbehav.2014.02.017</w:t>
        </w:r>
      </w:hyperlink>
      <w:r>
        <w:t xml:space="preserve">)</w:t>
      </w:r>
    </w:p>
    <w:bookmarkEnd w:id="77"/>
    <w:bookmarkStart w:id="79"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
          <w:iCs/>
        </w:rPr>
        <w:t xml:space="preserve">Animal Cognition</w:t>
      </w:r>
      <w:r>
        <w:t xml:space="preserve"> </w:t>
      </w:r>
      <w:r>
        <w:rPr>
          <w:b/>
          <w:bCs/>
        </w:rPr>
        <w:t xml:space="preserve">20</w:t>
      </w:r>
      <w:r>
        <w:t xml:space="preserve">, 117–125. (doi:</w:t>
      </w:r>
      <w:hyperlink r:id="rId78">
        <w:r>
          <w:rPr>
            <w:rStyle w:val="Hyperlink"/>
          </w:rPr>
          <w:t xml:space="preserve">10.1007/s10071-016-0993-2</w:t>
        </w:r>
      </w:hyperlink>
      <w:r>
        <w:t xml:space="preserve">)</w:t>
      </w:r>
    </w:p>
    <w:bookmarkEnd w:id="79"/>
    <w:bookmarkStart w:id="81"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
          <w:iCs/>
        </w:rPr>
        <w:t xml:space="preserve">Animal Behaviour</w:t>
      </w:r>
      <w:r>
        <w:t xml:space="preserve"> </w:t>
      </w:r>
      <w:r>
        <w:rPr>
          <w:b/>
          <w:bCs/>
        </w:rPr>
        <w:t xml:space="preserve">111</w:t>
      </w:r>
      <w:r>
        <w:t xml:space="preserve">, 251–260. (doi:</w:t>
      </w:r>
      <w:hyperlink r:id="rId80">
        <w:r>
          <w:rPr>
            <w:rStyle w:val="Hyperlink"/>
          </w:rPr>
          <w:t xml:space="preserve">10.1016/j.anbehav.2015.10.027</w:t>
        </w:r>
      </w:hyperlink>
      <w:r>
        <w:t xml:space="preserve">)</w:t>
      </w:r>
    </w:p>
    <w:bookmarkEnd w:id="81"/>
    <w:bookmarkStart w:id="83"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
          <w:iCs/>
        </w:rPr>
        <w:t xml:space="preserve">Animal Cognition</w:t>
      </w:r>
      <w:r>
        <w:t xml:space="preserve"> </w:t>
      </w:r>
      <w:r>
        <w:rPr>
          <w:b/>
          <w:bCs/>
        </w:rPr>
        <w:t xml:space="preserve">23</w:t>
      </w:r>
      <w:r>
        <w:t xml:space="preserve">, 613–620. (doi:</w:t>
      </w:r>
      <w:hyperlink r:id="rId82">
        <w:r>
          <w:rPr>
            <w:rStyle w:val="Hyperlink"/>
          </w:rPr>
          <w:t xml:space="preserve">10.1007/s10071-020-01365-4</w:t>
        </w:r>
      </w:hyperlink>
      <w:r>
        <w:t xml:space="preserve">)</w:t>
      </w:r>
    </w:p>
    <w:bookmarkEnd w:id="83"/>
    <w:bookmarkStart w:id="85"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
          <w:iCs/>
        </w:rPr>
        <w:t xml:space="preserve">Animal Behaviour</w:t>
      </w:r>
      <w:r>
        <w:t xml:space="preserve"> </w:t>
      </w:r>
      <w:r>
        <w:rPr>
          <w:b/>
          <w:bCs/>
        </w:rPr>
        <w:t xml:space="preserve">56</w:t>
      </w:r>
      <w:r>
        <w:t xml:space="preserve">, 547–553. (doi:</w:t>
      </w:r>
      <w:hyperlink r:id="rId84">
        <w:r>
          <w:rPr>
            <w:rStyle w:val="Hyperlink"/>
          </w:rPr>
          <w:t xml:space="preserve">10.1006/anbe.1998.0809</w:t>
        </w:r>
      </w:hyperlink>
      <w:r>
        <w:t xml:space="preserve">)</w:t>
      </w:r>
    </w:p>
    <w:bookmarkEnd w:id="85"/>
    <w:bookmarkStart w:id="87"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
          <w:iCs/>
        </w:rPr>
        <w:t xml:space="preserve">Behavioral Ecology and Sociobiology</w:t>
      </w:r>
      <w:r>
        <w:t xml:space="preserve"> </w:t>
      </w:r>
      <w:r>
        <w:rPr>
          <w:b/>
          <w:bCs/>
        </w:rPr>
        <w:t xml:space="preserve">73</w:t>
      </w:r>
      <w:r>
        <w:t xml:space="preserve">, 93. (doi:</w:t>
      </w:r>
      <w:hyperlink r:id="rId86">
        <w:r>
          <w:rPr>
            <w:rStyle w:val="Hyperlink"/>
          </w:rPr>
          <w:t xml:space="preserve">10.1007/s00265-019-2706-8</w:t>
        </w:r>
      </w:hyperlink>
      <w:r>
        <w:t xml:space="preserve">)</w:t>
      </w:r>
    </w:p>
    <w:bookmarkEnd w:id="87"/>
    <w:bookmarkStart w:id="88" w:name="ref-desfilis2003stimulus"/>
    <w:p>
      <w:pPr>
        <w:pStyle w:val="Bibliography"/>
      </w:pPr>
      <w:r>
        <w:t xml:space="preserve">11.</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
          <w:iCs/>
        </w:rPr>
        <w:t xml:space="preserve">Journal of Comparative Psychology</w:t>
      </w:r>
      <w:r>
        <w:t xml:space="preserve"> </w:t>
      </w:r>
      <w:r>
        <w:rPr>
          <w:b/>
          <w:bCs/>
        </w:rPr>
        <w:t xml:space="preserve">117</w:t>
      </w:r>
      <w:r>
        <w:t xml:space="preserve">, 309.</w:t>
      </w:r>
    </w:p>
    <w:bookmarkEnd w:id="88"/>
    <w:bookmarkStart w:id="89" w:name="ref-recio2023conspecific"/>
    <w:p>
      <w:pPr>
        <w:pStyle w:val="Bibliography"/>
      </w:pPr>
      <w:r>
        <w:t xml:space="preserve">12.</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
          <w:iCs/>
        </w:rPr>
        <w:t xml:space="preserve">Behavioral Ecology and Sociobiology</w:t>
      </w:r>
      <w:r>
        <w:t xml:space="preserve"> </w:t>
      </w:r>
      <w:r>
        <w:rPr>
          <w:b/>
          <w:bCs/>
        </w:rPr>
        <w:t xml:space="preserve">77</w:t>
      </w:r>
      <w:r>
        <w:t xml:space="preserve">, 29.</w:t>
      </w:r>
    </w:p>
    <w:bookmarkEnd w:id="89"/>
    <w:bookmarkStart w:id="90" w:name="ref-pyke1984optimal"/>
    <w:p>
      <w:pPr>
        <w:pStyle w:val="Bibliography"/>
      </w:pPr>
      <w:r>
        <w:t xml:space="preserve">13.</w:t>
      </w:r>
      <w:r>
        <w:t xml:space="preserve"> </w:t>
      </w:r>
      <w:r>
        <w:t xml:space="preserve">	</w:t>
      </w:r>
      <w:r>
        <w:t xml:space="preserve">Pyke GH. 1984 Optimal foraging theory: A critical review.</w:t>
      </w:r>
      <w:r>
        <w:t xml:space="preserve"> </w:t>
      </w:r>
      <w:r>
        <w:rPr>
          <w:i/>
          <w:iCs/>
        </w:rPr>
        <w:t xml:space="preserve">Annual review of ecology and systematics</w:t>
      </w:r>
      <w:r>
        <w:t xml:space="preserve"> </w:t>
      </w:r>
      <w:r>
        <w:rPr>
          <w:b/>
          <w:bCs/>
        </w:rPr>
        <w:t xml:space="preserve">15</w:t>
      </w:r>
      <w:r>
        <w:t xml:space="preserve">, 523–575.</w:t>
      </w:r>
    </w:p>
    <w:bookmarkEnd w:id="90"/>
    <w:bookmarkStart w:id="91" w:name="ref-hairston1982fish"/>
    <w:p>
      <w:pPr>
        <w:pStyle w:val="Bibliography"/>
      </w:pPr>
      <w:r>
        <w:t xml:space="preserve">14.</w:t>
      </w:r>
      <w:r>
        <w:t xml:space="preserve"> </w:t>
      </w:r>
      <w:r>
        <w:t xml:space="preserve">	</w:t>
      </w:r>
      <w:r>
        <w:t xml:space="preserve">Hairston Jr NG, Li KT, Easter Jr SS. 1982 Fish vision and the detection of planktonic prey.</w:t>
      </w:r>
      <w:r>
        <w:t xml:space="preserve"> </w:t>
      </w:r>
      <w:r>
        <w:rPr>
          <w:i/>
          <w:iCs/>
        </w:rPr>
        <w:t xml:space="preserve">Science</w:t>
      </w:r>
      <w:r>
        <w:t xml:space="preserve"> </w:t>
      </w:r>
      <w:r>
        <w:rPr>
          <w:b/>
          <w:bCs/>
        </w:rPr>
        <w:t xml:space="preserve">218</w:t>
      </w:r>
      <w:r>
        <w:t xml:space="preserve">, 1240–1242.</w:t>
      </w:r>
    </w:p>
    <w:bookmarkEnd w:id="91"/>
    <w:bookmarkStart w:id="92" w:name="ref-zhou2020effects"/>
    <w:p>
      <w:pPr>
        <w:pStyle w:val="Bibliography"/>
      </w:pPr>
      <w:r>
        <w:t xml:space="preserve">15.</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
          <w:iCs/>
        </w:rPr>
        <w:t xml:space="preserve">International Journal of Molecular Sciences</w:t>
      </w:r>
      <w:r>
        <w:t xml:space="preserve"> </w:t>
      </w:r>
      <w:r>
        <w:rPr>
          <w:b/>
          <w:bCs/>
        </w:rPr>
        <w:t xml:space="preserve">21</w:t>
      </w:r>
      <w:r>
        <w:t xml:space="preserve">, 5627.</w:t>
      </w:r>
    </w:p>
    <w:bookmarkEnd w:id="92"/>
    <w:bookmarkStart w:id="93" w:name="ref-amani2021perinatal"/>
    <w:p>
      <w:pPr>
        <w:pStyle w:val="Bibliography"/>
      </w:pPr>
      <w:r>
        <w:t xml:space="preserve">16.</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
          <w:iCs/>
        </w:rPr>
        <w:t xml:space="preserve">Reproductive Toxicology</w:t>
      </w:r>
      <w:r>
        <w:t xml:space="preserve"> </w:t>
      </w:r>
      <w:r>
        <w:rPr>
          <w:b/>
          <w:bCs/>
        </w:rPr>
        <w:t xml:space="preserve">104</w:t>
      </w:r>
      <w:r>
        <w:t xml:space="preserve">, 27–43.</w:t>
      </w:r>
    </w:p>
    <w:bookmarkEnd w:id="93"/>
    <w:bookmarkStart w:id="94" w:name="ref-siegel1994basic"/>
    <w:p>
      <w:pPr>
        <w:pStyle w:val="Bibliography"/>
      </w:pPr>
      <w:r>
        <w:t xml:space="preserve">17.</w:t>
      </w:r>
      <w:r>
        <w:t xml:space="preserve"> </w:t>
      </w:r>
      <w:r>
        <w:t xml:space="preserve">	</w:t>
      </w:r>
      <w:r>
        <w:t xml:space="preserve">Siegel GJ, Albers RW. 1994</w:t>
      </w:r>
      <w:r>
        <w:t xml:space="preserve"> </w:t>
      </w:r>
      <w:r>
        <w:rPr>
          <w:i/>
          <w:iCs/>
        </w:rPr>
        <w:t xml:space="preserve">Basic neurochemistry: Molecular, cellular, and medical aspects</w:t>
      </w:r>
      <w:r>
        <w:t xml:space="preserve">. Raven Press.</w:t>
      </w:r>
      <w:r>
        <w:t xml:space="preserve"> </w:t>
      </w:r>
    </w:p>
    <w:bookmarkEnd w:id="94"/>
    <w:bookmarkStart w:id="96" w:name="ref-du_dynamic_2009"/>
    <w:p>
      <w:pPr>
        <w:pStyle w:val="Bibliography"/>
      </w:pPr>
      <w:r>
        <w:t xml:space="preserve">18.</w:t>
      </w:r>
      <w:r>
        <w:t xml:space="preserve"> </w:t>
      </w:r>
      <w:r>
        <w:t xml:space="preserve">	</w:t>
      </w:r>
      <w:r>
        <w:t xml:space="preserve">Du J</w:t>
      </w:r>
      <w:r>
        <w:t xml:space="preserve"> </w:t>
      </w:r>
      <w:r>
        <w:rPr>
          <w:i/>
          <w:iCs/>
        </w:rPr>
        <w:t xml:space="preserve">et al.</w:t>
      </w:r>
      <w:r>
        <w:t xml:space="preserve"> 2009 Dynamic regulation of mitochondrial function by glucocorticoids.</w:t>
      </w:r>
      <w:r>
        <w:t xml:space="preserve"> </w:t>
      </w:r>
      <w:r>
        <w:rPr>
          <w:i/>
          <w:iCs/>
        </w:rPr>
        <w:t xml:space="preserve">Proceedings of the National Academy of Sciences</w:t>
      </w:r>
      <w:r>
        <w:t xml:space="preserve"> </w:t>
      </w:r>
      <w:r>
        <w:rPr>
          <w:b/>
          <w:bCs/>
        </w:rPr>
        <w:t xml:space="preserve">106</w:t>
      </w:r>
      <w:r>
        <w:t xml:space="preserve">, 3543–3548. (doi:</w:t>
      </w:r>
      <w:hyperlink r:id="rId95">
        <w:r>
          <w:rPr>
            <w:rStyle w:val="Hyperlink"/>
          </w:rPr>
          <w:t xml:space="preserve">10.1073/pnas.0812671106</w:t>
        </w:r>
      </w:hyperlink>
      <w:r>
        <w:t xml:space="preserve">)</w:t>
      </w:r>
    </w:p>
    <w:bookmarkEnd w:id="96"/>
    <w:bookmarkStart w:id="98" w:name="ref-picard_mitochondria_2014"/>
    <w:p>
      <w:pPr>
        <w:pStyle w:val="Bibliography"/>
      </w:pPr>
      <w:r>
        <w:t xml:space="preserve">19.</w:t>
      </w:r>
      <w:r>
        <w:t xml:space="preserve"> </w:t>
      </w:r>
      <w:r>
        <w:t xml:space="preserve">	</w:t>
      </w:r>
      <w:r>
        <w:t xml:space="preserve">Picard M, McEwen BS. 2014 Mitochondria impact brain function and cognition.</w:t>
      </w:r>
      <w:r>
        <w:t xml:space="preserve"> </w:t>
      </w:r>
      <w:r>
        <w:rPr>
          <w:i/>
          <w:iCs/>
        </w:rPr>
        <w:t xml:space="preserve">Proceedings of the National Academy of Sciences</w:t>
      </w:r>
      <w:r>
        <w:t xml:space="preserve"> </w:t>
      </w:r>
      <w:r>
        <w:rPr>
          <w:b/>
          <w:bCs/>
        </w:rPr>
        <w:t xml:space="preserve">111</w:t>
      </w:r>
      <w:r>
        <w:t xml:space="preserve">, 7–8. (doi:</w:t>
      </w:r>
      <w:hyperlink r:id="rId97">
        <w:r>
          <w:rPr>
            <w:rStyle w:val="Hyperlink"/>
          </w:rPr>
          <w:t xml:space="preserve">10.1073/pnas.1321881111</w:t>
        </w:r>
      </w:hyperlink>
      <w:r>
        <w:t xml:space="preserve">)</w:t>
      </w:r>
    </w:p>
    <w:bookmarkEnd w:id="98"/>
    <w:bookmarkStart w:id="100" w:name="ref-picard_energetic_2018"/>
    <w:p>
      <w:pPr>
        <w:pStyle w:val="Bibliography"/>
      </w:pPr>
      <w:r>
        <w:t xml:space="preserve">20.</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
          <w:iCs/>
        </w:rPr>
        <w:t xml:space="preserve">Frontiers in Neuroendocrinology</w:t>
      </w:r>
      <w:r>
        <w:t xml:space="preserve"> </w:t>
      </w:r>
      <w:r>
        <w:rPr>
          <w:b/>
          <w:bCs/>
        </w:rPr>
        <w:t xml:space="preserve">49</w:t>
      </w:r>
      <w:r>
        <w:t xml:space="preserve">, 72–85. (doi:</w:t>
      </w:r>
      <w:hyperlink r:id="rId99">
        <w:r>
          <w:rPr>
            <w:rStyle w:val="Hyperlink"/>
          </w:rPr>
          <w:t xml:space="preserve">10.1016/j.yfrne.2018.01.001</w:t>
        </w:r>
      </w:hyperlink>
      <w:r>
        <w:t xml:space="preserve">)</w:t>
      </w:r>
    </w:p>
    <w:bookmarkEnd w:id="100"/>
    <w:bookmarkStart w:id="102" w:name="ref-mcnay_decreases_2000"/>
    <w:p>
      <w:pPr>
        <w:pStyle w:val="Bibliography"/>
      </w:pPr>
      <w:r>
        <w:t xml:space="preserve">21.</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
          <w:iCs/>
        </w:rPr>
        <w:t xml:space="preserve">Proceedings of the National Academy of Sciences</w:t>
      </w:r>
      <w:r>
        <w:t xml:space="preserve"> </w:t>
      </w:r>
      <w:r>
        <w:rPr>
          <w:b/>
          <w:bCs/>
        </w:rPr>
        <w:t xml:space="preserve">97</w:t>
      </w:r>
      <w:r>
        <w:t xml:space="preserve">, 2881–2885. (doi:</w:t>
      </w:r>
      <w:hyperlink r:id="rId101">
        <w:r>
          <w:rPr>
            <w:rStyle w:val="Hyperlink"/>
          </w:rPr>
          <w:t xml:space="preserve">10.1073/pnas.050583697</w:t>
        </w:r>
      </w:hyperlink>
      <w:r>
        <w:t xml:space="preserve">)</w:t>
      </w:r>
    </w:p>
    <w:bookmarkEnd w:id="102"/>
    <w:bookmarkStart w:id="104" w:name="ref-mann_coupling_2021"/>
    <w:p>
      <w:pPr>
        <w:pStyle w:val="Bibliography"/>
      </w:pPr>
      <w:r>
        <w:t xml:space="preserve">22.</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
          <w:iCs/>
        </w:rPr>
        <w:t xml:space="preserve">Nature</w:t>
      </w:r>
      <w:r>
        <w:t xml:space="preserve"> </w:t>
      </w:r>
      <w:r>
        <w:rPr>
          <w:b/>
          <w:bCs/>
        </w:rPr>
        <w:t xml:space="preserve">593</w:t>
      </w:r>
      <w:r>
        <w:t xml:space="preserve">, 244–248. (doi:</w:t>
      </w:r>
      <w:hyperlink r:id="rId103">
        <w:r>
          <w:rPr>
            <w:rStyle w:val="Hyperlink"/>
          </w:rPr>
          <w:t xml:space="preserve">10.1038/s41586-021-03497-0</w:t>
        </w:r>
      </w:hyperlink>
      <w:r>
        <w:t xml:space="preserve">)</w:t>
      </w:r>
    </w:p>
    <w:bookmarkEnd w:id="104"/>
    <w:bookmarkStart w:id="106" w:name="ref-alexandrov_neuronal_2022"/>
    <w:p>
      <w:pPr>
        <w:pStyle w:val="Bibliography"/>
      </w:pPr>
      <w:r>
        <w:t xml:space="preserve">23.</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
          <w:iCs/>
        </w:rPr>
        <w:t xml:space="preserve">Neuroscience &amp; Biobehavioral Reviews</w:t>
      </w:r>
      <w:r>
        <w:t xml:space="preserve"> </w:t>
      </w:r>
      <w:r>
        <w:rPr>
          <w:b/>
          <w:bCs/>
        </w:rPr>
        <w:t xml:space="preserve">137</w:t>
      </w:r>
      <w:r>
        <w:t xml:space="preserve">, 104664. (doi:</w:t>
      </w:r>
      <w:hyperlink r:id="rId105">
        <w:r>
          <w:rPr>
            <w:rStyle w:val="Hyperlink"/>
          </w:rPr>
          <w:t xml:space="preserve">10.1016/j.neubiorev.2022.104664</w:t>
        </w:r>
      </w:hyperlink>
      <w:r>
        <w:t xml:space="preserve">)</w:t>
      </w:r>
    </w:p>
    <w:bookmarkEnd w:id="106"/>
    <w:bookmarkStart w:id="108" w:name="ref-lefebvre_taxonomic_2011"/>
    <w:p>
      <w:pPr>
        <w:pStyle w:val="Bibliography"/>
      </w:pPr>
      <w:r>
        <w:t xml:space="preserve">24.</w:t>
      </w:r>
      <w:r>
        <w:t xml:space="preserve"> </w:t>
      </w:r>
      <w:r>
        <w:t xml:space="preserve">	</w:t>
      </w:r>
      <w:r>
        <w:t xml:space="preserve">Lefebvre L. 2011 Taxonomic counts of cognition in the wild.</w:t>
      </w:r>
      <w:r>
        <w:t xml:space="preserve"> </w:t>
      </w:r>
      <w:r>
        <w:rPr>
          <w:i/>
          <w:iCs/>
        </w:rPr>
        <w:t xml:space="preserve">Biology Letters</w:t>
      </w:r>
      <w:r>
        <w:t xml:space="preserve"> </w:t>
      </w:r>
      <w:r>
        <w:rPr>
          <w:b/>
          <w:bCs/>
        </w:rPr>
        <w:t xml:space="preserve">7</w:t>
      </w:r>
      <w:r>
        <w:t xml:space="preserve">, 631–633. (doi:</w:t>
      </w:r>
      <w:hyperlink r:id="rId107">
        <w:r>
          <w:rPr>
            <w:rStyle w:val="Hyperlink"/>
          </w:rPr>
          <w:t xml:space="preserve">10.1098/rsbl.2010.0556</w:t>
        </w:r>
      </w:hyperlink>
      <w:r>
        <w:t xml:space="preserve">)</w:t>
      </w:r>
    </w:p>
    <w:bookmarkEnd w:id="108"/>
    <w:bookmarkStart w:id="110" w:name="ref-finkel_oxidants_2000"/>
    <w:p>
      <w:pPr>
        <w:pStyle w:val="Bibliography"/>
      </w:pPr>
      <w:r>
        <w:t xml:space="preserve">25.</w:t>
      </w:r>
      <w:r>
        <w:t xml:space="preserve"> </w:t>
      </w:r>
      <w:r>
        <w:t xml:space="preserve">	</w:t>
      </w:r>
      <w:r>
        <w:t xml:space="preserve">Finkel T, Holbrook NJ. 2000 Oxidants, oxidative stress and the biology of ageing.</w:t>
      </w:r>
      <w:r>
        <w:t xml:space="preserve"> </w:t>
      </w:r>
      <w:r>
        <w:rPr>
          <w:i/>
          <w:iCs/>
        </w:rPr>
        <w:t xml:space="preserve">Nature</w:t>
      </w:r>
      <w:r>
        <w:t xml:space="preserve"> </w:t>
      </w:r>
      <w:r>
        <w:rPr>
          <w:b/>
          <w:bCs/>
        </w:rPr>
        <w:t xml:space="preserve">408</w:t>
      </w:r>
      <w:r>
        <w:t xml:space="preserve">, 239–247. (doi:</w:t>
      </w:r>
      <w:hyperlink r:id="rId109">
        <w:r>
          <w:rPr>
            <w:rStyle w:val="Hyperlink"/>
          </w:rPr>
          <w:t xml:space="preserve">10.1038/35041687</w:t>
        </w:r>
      </w:hyperlink>
      <w:r>
        <w:t xml:space="preserve">)</w:t>
      </w:r>
    </w:p>
    <w:bookmarkEnd w:id="110"/>
    <w:bookmarkStart w:id="112" w:name="ref-gong_chronic_2011"/>
    <w:p>
      <w:pPr>
        <w:pStyle w:val="Bibliography"/>
      </w:pPr>
      <w:r>
        <w:t xml:space="preserve">26.</w:t>
      </w:r>
      <w:r>
        <w:t xml:space="preserve"> </w:t>
      </w:r>
      <w:r>
        <w:t xml:space="preserve">	</w:t>
      </w:r>
      <w:r>
        <w:t xml:space="preserve">Gong Y, Chai Y, Ding J-H, Sun X-L, Hu G. 2011 Chronic mild stress damages mitochondrial ultrastructure and function in mouse brain.</w:t>
      </w:r>
      <w:r>
        <w:t xml:space="preserve"> </w:t>
      </w:r>
      <w:r>
        <w:rPr>
          <w:i/>
          <w:iCs/>
        </w:rPr>
        <w:t xml:space="preserve">Neuroscience Letters</w:t>
      </w:r>
      <w:r>
        <w:t xml:space="preserve"> </w:t>
      </w:r>
      <w:r>
        <w:rPr>
          <w:b/>
          <w:bCs/>
        </w:rPr>
        <w:t xml:space="preserve">488</w:t>
      </w:r>
      <w:r>
        <w:t xml:space="preserve">, 76–80. (doi:</w:t>
      </w:r>
      <w:hyperlink r:id="rId111">
        <w:r>
          <w:rPr>
            <w:rStyle w:val="Hyperlink"/>
          </w:rPr>
          <w:t xml:space="preserve">10.1016/j.neulet.2010.11.006</w:t>
        </w:r>
      </w:hyperlink>
      <w:r>
        <w:t xml:space="preserve">)</w:t>
      </w:r>
    </w:p>
    <w:bookmarkEnd w:id="112"/>
    <w:bookmarkStart w:id="114" w:name="ref-hoffmann_mitochondrion_2018"/>
    <w:p>
      <w:pPr>
        <w:pStyle w:val="Bibliography"/>
      </w:pPr>
      <w:r>
        <w:t xml:space="preserve">27.</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
          <w:iCs/>
        </w:rPr>
        <w:t xml:space="preserve">Frontiers in Behavioral Neuroscience</w:t>
      </w:r>
      <w:r>
        <w:t xml:space="preserve"> </w:t>
      </w:r>
      <w:r>
        <w:rPr>
          <w:b/>
          <w:bCs/>
        </w:rPr>
        <w:t xml:space="preserve">12</w:t>
      </w:r>
      <w:r>
        <w:t xml:space="preserve">, 306. (doi:</w:t>
      </w:r>
      <w:hyperlink r:id="rId113">
        <w:r>
          <w:rPr>
            <w:rStyle w:val="Hyperlink"/>
          </w:rPr>
          <w:t xml:space="preserve">10.3389/fnbeh.2018.00306</w:t>
        </w:r>
      </w:hyperlink>
      <w:r>
        <w:t xml:space="preserve">)</w:t>
      </w:r>
    </w:p>
    <w:bookmarkEnd w:id="114"/>
    <w:bookmarkStart w:id="115" w:name="ref-gyllenhammer2020developmental"/>
    <w:p>
      <w:pPr>
        <w:pStyle w:val="Bibliography"/>
      </w:pPr>
      <w:r>
        <w:t xml:space="preserve">28.</w:t>
      </w:r>
      <w:r>
        <w:t xml:space="preserve"> </w:t>
      </w:r>
      <w:r>
        <w:t xml:space="preserve">	</w:t>
      </w:r>
      <w:r>
        <w:t xml:space="preserve">Gyllenhammer LE, Entringer S, Buss C, Wadhwa PD. 2020 Developmental programming of mitochondrial biology: A conceptual framework and review.</w:t>
      </w:r>
      <w:r>
        <w:t xml:space="preserve"> </w:t>
      </w:r>
      <w:r>
        <w:rPr>
          <w:i/>
          <w:iCs/>
        </w:rPr>
        <w:t xml:space="preserve">Proceedings of the Royal Society B</w:t>
      </w:r>
      <w:r>
        <w:t xml:space="preserve"> </w:t>
      </w:r>
      <w:r>
        <w:rPr>
          <w:b/>
          <w:bCs/>
        </w:rPr>
        <w:t xml:space="preserve">287</w:t>
      </w:r>
      <w:r>
        <w:t xml:space="preserve">, 20192713.</w:t>
      </w:r>
    </w:p>
    <w:bookmarkEnd w:id="115"/>
    <w:bookmarkStart w:id="116" w:name="ref-sapolsky_how_2000"/>
    <w:p>
      <w:pPr>
        <w:pStyle w:val="Bibliography"/>
      </w:pPr>
      <w:r>
        <w:t xml:space="preserve">29.</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
          <w:bCs/>
        </w:rPr>
        <w:t xml:space="preserve">21</w:t>
      </w:r>
      <w:r>
        <w:t xml:space="preserve">.</w:t>
      </w:r>
    </w:p>
    <w:bookmarkEnd w:id="116"/>
    <w:bookmarkStart w:id="117" w:name="ref-stier2022experimental"/>
    <w:p>
      <w:pPr>
        <w:pStyle w:val="Bibliography"/>
      </w:pPr>
      <w:r>
        <w:t xml:space="preserve">30.</w:t>
      </w:r>
      <w:r>
        <w:t xml:space="preserve"> </w:t>
      </w:r>
      <w:r>
        <w:t xml:space="preserve">	</w:t>
      </w:r>
      <w:r>
        <w:t xml:space="preserve">Stier A, Monaghan P, Metcalfe NB. 2022 Experimental demonstration of prenatal programming of mitochondrial aerobic metabolism lasting until adulthood.</w:t>
      </w:r>
      <w:r>
        <w:t xml:space="preserve"> </w:t>
      </w:r>
      <w:r>
        <w:rPr>
          <w:i/>
          <w:iCs/>
        </w:rPr>
        <w:t xml:space="preserve">Proceedings of the Royal Society B</w:t>
      </w:r>
      <w:r>
        <w:t xml:space="preserve"> </w:t>
      </w:r>
      <w:r>
        <w:rPr>
          <w:b/>
          <w:bCs/>
        </w:rPr>
        <w:t xml:space="preserve">289</w:t>
      </w:r>
      <w:r>
        <w:t xml:space="preserve">, 20212679.</w:t>
      </w:r>
    </w:p>
    <w:bookmarkEnd w:id="117"/>
    <w:bookmarkStart w:id="118" w:name="ref-crino2024eggs"/>
    <w:p>
      <w:pPr>
        <w:pStyle w:val="Bibliography"/>
      </w:pPr>
      <w:r>
        <w:t xml:space="preserve">31.</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
          <w:iCs/>
        </w:rPr>
        <w:t xml:space="preserve">Journal of Experimental Biology</w:t>
      </w:r>
      <w:r>
        <w:t xml:space="preserve"> </w:t>
      </w:r>
      <w:r>
        <w:rPr>
          <w:b/>
          <w:bCs/>
        </w:rPr>
        <w:t xml:space="preserve">227</w:t>
      </w:r>
      <w:r>
        <w:t xml:space="preserve">.</w:t>
      </w:r>
    </w:p>
    <w:bookmarkEnd w:id="118"/>
    <w:bookmarkStart w:id="119" w:name="ref-song2009prenatal"/>
    <w:p>
      <w:pPr>
        <w:pStyle w:val="Bibliography"/>
      </w:pPr>
      <w:r>
        <w:t xml:space="preserve">32.</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
          <w:iCs/>
        </w:rPr>
        <w:t xml:space="preserve">Neurochemical research</w:t>
      </w:r>
      <w:r>
        <w:t xml:space="preserve"> </w:t>
      </w:r>
      <w:r>
        <w:rPr>
          <w:b/>
          <w:bCs/>
        </w:rPr>
        <w:t xml:space="preserve">34</w:t>
      </w:r>
      <w:r>
        <w:t xml:space="preserve">, 739–745.</w:t>
      </w:r>
    </w:p>
    <w:bookmarkEnd w:id="119"/>
    <w:bookmarkStart w:id="120" w:name="ref-costantini2011meta"/>
    <w:p>
      <w:pPr>
        <w:pStyle w:val="Bibliography"/>
      </w:pPr>
      <w:r>
        <w:t xml:space="preserve">33.</w:t>
      </w:r>
      <w:r>
        <w:t xml:space="preserve"> </w:t>
      </w:r>
      <w:r>
        <w:t xml:space="preserve">	</w:t>
      </w:r>
      <w:r>
        <w:t xml:space="preserve">Costantini D, Marasco V, Møller AP. 2011 A meta-analysis of glucocorticoids as modulators of oxidative stress in vertebrates.</w:t>
      </w:r>
      <w:r>
        <w:t xml:space="preserve"> </w:t>
      </w:r>
      <w:r>
        <w:rPr>
          <w:i/>
          <w:iCs/>
        </w:rPr>
        <w:t xml:space="preserve">Journal of Comparative Physiology B</w:t>
      </w:r>
      <w:r>
        <w:t xml:space="preserve"> </w:t>
      </w:r>
      <w:r>
        <w:rPr>
          <w:b/>
          <w:bCs/>
        </w:rPr>
        <w:t xml:space="preserve">181</w:t>
      </w:r>
      <w:r>
        <w:t xml:space="preserve">, 447–456.</w:t>
      </w:r>
    </w:p>
    <w:bookmarkEnd w:id="120"/>
    <w:bookmarkStart w:id="122" w:name="ref-haussmann_embryonic_2012"/>
    <w:p>
      <w:pPr>
        <w:pStyle w:val="Bibliography"/>
      </w:pPr>
      <w:r>
        <w:t xml:space="preserve">34.</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
          <w:iCs/>
        </w:rPr>
        <w:t xml:space="preserve">Proceedings of the Royal Society B: Biological Sciences</w:t>
      </w:r>
      <w:r>
        <w:t xml:space="preserve"> </w:t>
      </w:r>
      <w:r>
        <w:rPr>
          <w:b/>
          <w:bCs/>
        </w:rPr>
        <w:t xml:space="preserve">279</w:t>
      </w:r>
      <w:r>
        <w:t xml:space="preserve">, 1447–1456. (doi:</w:t>
      </w:r>
      <w:hyperlink r:id="rId121">
        <w:r>
          <w:rPr>
            <w:rStyle w:val="Hyperlink"/>
          </w:rPr>
          <w:t xml:space="preserve">10.1098/rspb.2011.1913</w:t>
        </w:r>
      </w:hyperlink>
      <w:r>
        <w:t xml:space="preserve">)</w:t>
      </w:r>
    </w:p>
    <w:bookmarkEnd w:id="122"/>
    <w:bookmarkStart w:id="123" w:name="ref-treidel2016temperature"/>
    <w:p>
      <w:pPr>
        <w:pStyle w:val="Bibliography"/>
      </w:pPr>
      <w:r>
        <w:t xml:space="preserve">35.</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
          <w:iCs/>
        </w:rPr>
        <w:t xml:space="preserve">Journal of Experimental Biology</w:t>
      </w:r>
      <w:r>
        <w:t xml:space="preserve"> </w:t>
      </w:r>
      <w:r>
        <w:rPr>
          <w:b/>
          <w:bCs/>
        </w:rPr>
        <w:t xml:space="preserve">219</w:t>
      </w:r>
      <w:r>
        <w:t xml:space="preserve">, 561–570.</w:t>
      </w:r>
    </w:p>
    <w:bookmarkEnd w:id="123"/>
    <w:bookmarkStart w:id="124" w:name="ref-chaudhari2022early"/>
    <w:p>
      <w:pPr>
        <w:pStyle w:val="Bibliography"/>
      </w:pPr>
      <w:r>
        <w:t xml:space="preserve">36.</w:t>
      </w:r>
      <w:r>
        <w:t xml:space="preserve"> </w:t>
      </w:r>
      <w:r>
        <w:t xml:space="preserve">	</w:t>
      </w:r>
      <w:r>
        <w:t xml:space="preserve">Chaudhari PR, Singla A, Vaidya VA. 2022 Early adversity and accelerated brain aging: A mini-review.</w:t>
      </w:r>
      <w:r>
        <w:t xml:space="preserve"> </w:t>
      </w:r>
      <w:r>
        <w:rPr>
          <w:i/>
          <w:iCs/>
        </w:rPr>
        <w:t xml:space="preserve">Frontiers in Molecular Neuroscience</w:t>
      </w:r>
      <w:r>
        <w:t xml:space="preserve"> </w:t>
      </w:r>
      <w:r>
        <w:rPr>
          <w:b/>
          <w:bCs/>
        </w:rPr>
        <w:t xml:space="preserve">15</w:t>
      </w:r>
      <w:r>
        <w:t xml:space="preserve">, 822917.</w:t>
      </w:r>
    </w:p>
    <w:bookmarkEnd w:id="124"/>
    <w:bookmarkStart w:id="126" w:name="ref-hara_presynaptic_2014"/>
    <w:p>
      <w:pPr>
        <w:pStyle w:val="Bibliography"/>
      </w:pPr>
      <w:r>
        <w:t xml:space="preserve">37.</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
          <w:iCs/>
        </w:rPr>
        <w:t xml:space="preserve">Proceedings of the National Academy of Sciences</w:t>
      </w:r>
      <w:r>
        <w:t xml:space="preserve"> </w:t>
      </w:r>
      <w:r>
        <w:rPr>
          <w:b/>
          <w:bCs/>
        </w:rPr>
        <w:t xml:space="preserve">111</w:t>
      </w:r>
      <w:r>
        <w:t xml:space="preserve">, 486–491. (doi:</w:t>
      </w:r>
      <w:hyperlink r:id="rId125">
        <w:r>
          <w:rPr>
            <w:rStyle w:val="Hyperlink"/>
          </w:rPr>
          <w:t xml:space="preserve">10.1073/pnas.1311310110</w:t>
        </w:r>
      </w:hyperlink>
      <w:r>
        <w:t xml:space="preserve">)</w:t>
      </w:r>
    </w:p>
    <w:bookmarkEnd w:id="126"/>
    <w:bookmarkStart w:id="128" w:name="ref-coomber_independent_1997"/>
    <w:p>
      <w:pPr>
        <w:pStyle w:val="Bibliography"/>
      </w:pPr>
      <w:r>
        <w:t xml:space="preserve">38.</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
          <w:iCs/>
        </w:rPr>
        <w:t xml:space="preserve">The Journal of Comparative Neurology</w:t>
      </w:r>
      <w:r>
        <w:t xml:space="preserve"> </w:t>
      </w:r>
      <w:r>
        <w:rPr>
          <w:b/>
          <w:bCs/>
        </w:rPr>
        <w:t xml:space="preserve">380</w:t>
      </w:r>
      <w:r>
        <w:t xml:space="preserve">, 409–421. (doi:</w:t>
      </w:r>
      <w:hyperlink r:id="rId127">
        <w:r>
          <w:rPr>
            <w:rStyle w:val="Hyperlink"/>
          </w:rPr>
          <w:t xml:space="preserve">10.1002/(SICI)1096-9861(19970414)380:3&lt;409::AID-CNE9&gt;3.0.CO;2-6</w:t>
        </w:r>
      </w:hyperlink>
      <w:r>
        <w:t xml:space="preserve">)</w:t>
      </w:r>
    </w:p>
    <w:bookmarkEnd w:id="128"/>
    <w:bookmarkStart w:id="129" w:name="ref-cheetham2011embryonic"/>
    <w:p>
      <w:pPr>
        <w:pStyle w:val="Bibliography"/>
      </w:pPr>
      <w:r>
        <w:t xml:space="preserve">39.</w:t>
      </w:r>
      <w:r>
        <w:t xml:space="preserve"> </w:t>
      </w:r>
      <w:r>
        <w:t xml:space="preserve">	</w:t>
      </w:r>
      <w:r>
        <w:t xml:space="preserve">Cheetham E, Doody JS, Stewart B, Harlow P. 2011 Embryonic mortality as a cost of communal nesting in the delicate skink.</w:t>
      </w:r>
      <w:r>
        <w:t xml:space="preserve"> </w:t>
      </w:r>
      <w:r>
        <w:rPr>
          <w:i/>
          <w:iCs/>
        </w:rPr>
        <w:t xml:space="preserve">Journal of Zoology</w:t>
      </w:r>
      <w:r>
        <w:t xml:space="preserve"> </w:t>
      </w:r>
      <w:r>
        <w:rPr>
          <w:b/>
          <w:bCs/>
        </w:rPr>
        <w:t xml:space="preserve">283</w:t>
      </w:r>
      <w:r>
        <w:t xml:space="preserve">, 234–242.</w:t>
      </w:r>
    </w:p>
    <w:bookmarkEnd w:id="129"/>
    <w:bookmarkStart w:id="131" w:name="ref-burger_effects_1990"/>
    <w:p>
      <w:pPr>
        <w:pStyle w:val="Bibliography"/>
      </w:pPr>
      <w:r>
        <w:t xml:space="preserve">40.</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
          <w:iCs/>
        </w:rPr>
        <w:t xml:space="preserve">Journal of Herpetology</w:t>
      </w:r>
      <w:r>
        <w:t xml:space="preserve"> </w:t>
      </w:r>
      <w:r>
        <w:rPr>
          <w:b/>
          <w:bCs/>
        </w:rPr>
        <w:t xml:space="preserve">24</w:t>
      </w:r>
      <w:r>
        <w:t xml:space="preserve">, 158. (doi:</w:t>
      </w:r>
      <w:hyperlink r:id="rId130">
        <w:r>
          <w:rPr>
            <w:rStyle w:val="Hyperlink"/>
          </w:rPr>
          <w:t xml:space="preserve">10.2307/1564223</w:t>
        </w:r>
      </w:hyperlink>
      <w:r>
        <w:t xml:space="preserve">)</w:t>
      </w:r>
    </w:p>
    <w:bookmarkEnd w:id="131"/>
    <w:bookmarkStart w:id="133" w:name="ref-burger_effects_1991"/>
    <w:p>
      <w:pPr>
        <w:pStyle w:val="Bibliography"/>
      </w:pPr>
      <w:r>
        <w:t xml:space="preserve">41.</w:t>
      </w:r>
      <w:r>
        <w:t xml:space="preserve"> </w:t>
      </w:r>
      <w:r>
        <w:t xml:space="preserve">	</w:t>
      </w:r>
      <w:r>
        <w:t xml:space="preserve">Burger J. 1991 Effects of incubation temperature on behavior of hatchling pine snakes: Implications for reptilian distribution.</w:t>
      </w:r>
      <w:r>
        <w:t xml:space="preserve"> </w:t>
      </w:r>
      <w:r>
        <w:rPr>
          <w:i/>
          <w:iCs/>
        </w:rPr>
        <w:t xml:space="preserve">Behavioral Ecology and Sociobiology</w:t>
      </w:r>
      <w:r>
        <w:t xml:space="preserve"> </w:t>
      </w:r>
      <w:r>
        <w:rPr>
          <w:b/>
          <w:bCs/>
        </w:rPr>
        <w:t xml:space="preserve">28</w:t>
      </w:r>
      <w:r>
        <w:t xml:space="preserve">. (doi:</w:t>
      </w:r>
      <w:hyperlink r:id="rId132">
        <w:r>
          <w:rPr>
            <w:rStyle w:val="Hyperlink"/>
          </w:rPr>
          <w:t xml:space="preserve">10.1007/BF00175103</w:t>
        </w:r>
      </w:hyperlink>
      <w:r>
        <w:t xml:space="preserve">)</w:t>
      </w:r>
    </w:p>
    <w:bookmarkEnd w:id="133"/>
    <w:bookmarkStart w:id="134" w:name="ref-young2022physiological"/>
    <w:p>
      <w:pPr>
        <w:pStyle w:val="Bibliography"/>
      </w:pPr>
      <w:r>
        <w:t xml:space="preserve">42.</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
          <w:iCs/>
        </w:rPr>
        <w:t xml:space="preserve">Oecologia</w:t>
      </w:r>
      <w:r>
        <w:t xml:space="preserve">, 1–12.</w:t>
      </w:r>
    </w:p>
    <w:bookmarkEnd w:id="134"/>
    <w:bookmarkStart w:id="135" w:name="ref-wyneken2007reptilian"/>
    <w:p>
      <w:pPr>
        <w:pStyle w:val="Bibliography"/>
      </w:pPr>
      <w:r>
        <w:t xml:space="preserve">43.</w:t>
      </w:r>
      <w:r>
        <w:t xml:space="preserve"> </w:t>
      </w:r>
      <w:r>
        <w:t xml:space="preserve">	</w:t>
      </w:r>
      <w:r>
        <w:t xml:space="preserve">Wyneken J. 2007 Reptilian neurology: Anatomy and function.</w:t>
      </w:r>
      <w:r>
        <w:t xml:space="preserve"> </w:t>
      </w:r>
      <w:r>
        <w:rPr>
          <w:i/>
          <w:iCs/>
        </w:rPr>
        <w:t xml:space="preserve">Veterinary Clinics of North America: Exotic Animal Practice</w:t>
      </w:r>
      <w:r>
        <w:t xml:space="preserve"> </w:t>
      </w:r>
      <w:r>
        <w:rPr>
          <w:b/>
          <w:bCs/>
        </w:rPr>
        <w:t xml:space="preserve">10</w:t>
      </w:r>
      <w:r>
        <w:t xml:space="preserve">, 837–853.</w:t>
      </w:r>
    </w:p>
    <w:bookmarkEnd w:id="135"/>
    <w:bookmarkStart w:id="136" w:name="ref-martinez2016tca"/>
    <w:p>
      <w:pPr>
        <w:pStyle w:val="Bibliography"/>
      </w:pPr>
      <w:r>
        <w:t xml:space="preserve">44.</w:t>
      </w:r>
      <w:r>
        <w:t xml:space="preserve"> </w:t>
      </w:r>
      <w:r>
        <w:t xml:space="preserve">	</w:t>
      </w:r>
      <w:r>
        <w:t xml:space="preserve">Martı́nez-Reyes I</w:t>
      </w:r>
      <w:r>
        <w:t xml:space="preserve"> </w:t>
      </w:r>
      <w:r>
        <w:rPr>
          <w:i/>
          <w:iCs/>
        </w:rPr>
        <w:t xml:space="preserve">et al.</w:t>
      </w:r>
      <w:r>
        <w:t xml:space="preserve"> 2016 TCA cycle and mitochondrial membrane potential are necessary for diverse biological functions.</w:t>
      </w:r>
      <w:r>
        <w:t xml:space="preserve"> </w:t>
      </w:r>
      <w:r>
        <w:rPr>
          <w:i/>
          <w:iCs/>
        </w:rPr>
        <w:t xml:space="preserve">Molecular cell</w:t>
      </w:r>
      <w:r>
        <w:t xml:space="preserve"> </w:t>
      </w:r>
      <w:r>
        <w:rPr>
          <w:b/>
          <w:bCs/>
        </w:rPr>
        <w:t xml:space="preserve">61</w:t>
      </w:r>
      <w:r>
        <w:t xml:space="preserve">, 199–209.</w:t>
      </w:r>
    </w:p>
    <w:bookmarkEnd w:id="136"/>
    <w:bookmarkStart w:id="137" w:name="ref-conde2018stress"/>
    <w:p>
      <w:pPr>
        <w:pStyle w:val="Bibliography"/>
      </w:pPr>
      <w:r>
        <w:t xml:space="preserve">45.</w:t>
      </w:r>
      <w:r>
        <w:t xml:space="preserve"> </w:t>
      </w:r>
      <w:r>
        <w:t xml:space="preserve">	</w:t>
      </w:r>
      <w:r>
        <w:t xml:space="preserve">Conde-Sieira M, Chivite M, Mı́guez JM, Soengas JL. 2018 Stress effects on the mechanisms regulating appetite in teleost fish.</w:t>
      </w:r>
      <w:r>
        <w:t xml:space="preserve"> </w:t>
      </w:r>
      <w:r>
        <w:rPr>
          <w:i/>
          <w:iCs/>
        </w:rPr>
        <w:t xml:space="preserve">Frontiers in Endocrinology</w:t>
      </w:r>
      <w:r>
        <w:t xml:space="preserve"> </w:t>
      </w:r>
      <w:r>
        <w:rPr>
          <w:b/>
          <w:bCs/>
        </w:rPr>
        <w:t xml:space="preserve">9</w:t>
      </w:r>
      <w:r>
        <w:t xml:space="preserve">, 631.</w:t>
      </w:r>
    </w:p>
    <w:bookmarkEnd w:id="137"/>
    <w:bookmarkStart w:id="138" w:name="ref-gelman2008scaling"/>
    <w:p>
      <w:pPr>
        <w:pStyle w:val="Bibliography"/>
      </w:pPr>
      <w:r>
        <w:t xml:space="preserve">46.</w:t>
      </w:r>
      <w:r>
        <w:t xml:space="preserve"> </w:t>
      </w:r>
      <w:r>
        <w:t xml:space="preserve">	</w:t>
      </w:r>
      <w:r>
        <w:t xml:space="preserve">Gelman A. 2008 Scaling regression inputs by dividing by two standard deviations.</w:t>
      </w:r>
      <w:r>
        <w:t xml:space="preserve"> </w:t>
      </w:r>
      <w:r>
        <w:rPr>
          <w:i/>
          <w:iCs/>
        </w:rPr>
        <w:t xml:space="preserve">Statistics in medicine</w:t>
      </w:r>
      <w:r>
        <w:t xml:space="preserve"> </w:t>
      </w:r>
      <w:r>
        <w:rPr>
          <w:b/>
          <w:bCs/>
        </w:rPr>
        <w:t xml:space="preserve">27</w:t>
      </w:r>
      <w:r>
        <w:t xml:space="preserve">, 2865–2873.</w:t>
      </w:r>
    </w:p>
    <w:bookmarkEnd w:id="138"/>
    <w:bookmarkStart w:id="140" w:name="ref-stan"/>
    <w:p>
      <w:pPr>
        <w:pStyle w:val="Bibliography"/>
      </w:pPr>
      <w:r>
        <w:t xml:space="preserve">47.</w:t>
      </w:r>
      <w:r>
        <w:t xml:space="preserve"> </w:t>
      </w:r>
      <w:r>
        <w:t xml:space="preserve">	</w:t>
      </w:r>
      <w:r>
        <w:t xml:space="preserve">Stan Development Team. 2024</w:t>
      </w:r>
      <w:r>
        <w:t xml:space="preserve"> </w:t>
      </w:r>
      <w:hyperlink r:id="rId139">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r>
        <w:t xml:space="preserve"> </w:t>
      </w:r>
    </w:p>
    <w:bookmarkEnd w:id="140"/>
    <w:bookmarkStart w:id="142" w:name="ref-R"/>
    <w:p>
      <w:pPr>
        <w:pStyle w:val="Bibliography"/>
      </w:pPr>
      <w:r>
        <w:t xml:space="preserve">48.</w:t>
      </w:r>
      <w:r>
        <w:t xml:space="preserve"> </w:t>
      </w:r>
      <w:r>
        <w:t xml:space="preserve">	</w:t>
      </w:r>
      <w:r>
        <w:t xml:space="preserve">R Core Team. 2021</w:t>
      </w:r>
      <w:r>
        <w:t xml:space="preserve"> </w:t>
      </w:r>
      <w:hyperlink r:id="rId141">
        <w:r>
          <w:rPr>
            <w:rStyle w:val="Hyperlink"/>
          </w:rPr>
          <w:t xml:space="preserve">R: A language and environment for statistical computing</w:t>
        </w:r>
      </w:hyperlink>
      <w:r>
        <w:t xml:space="preserve">.</w:t>
      </w:r>
      <w:r>
        <w:t xml:space="preserve"> </w:t>
      </w:r>
    </w:p>
    <w:bookmarkEnd w:id="142"/>
    <w:bookmarkStart w:id="143" w:name="ref-endo2019introduction"/>
    <w:p>
      <w:pPr>
        <w:pStyle w:val="Bibliography"/>
      </w:pPr>
      <w:r>
        <w:t xml:space="preserve">49.</w:t>
      </w:r>
      <w:r>
        <w:t xml:space="preserve"> </w:t>
      </w:r>
      <w:r>
        <w:t xml:space="preserve">	</w:t>
      </w:r>
      <w:r>
        <w:t xml:space="preserve">Endo A, Van Leeuwen E, Baguelin M. 2019 Introduction to particle markov-chain monte carlo for disease dynamics modellers.</w:t>
      </w:r>
      <w:r>
        <w:t xml:space="preserve"> </w:t>
      </w:r>
      <w:r>
        <w:rPr>
          <w:i/>
          <w:iCs/>
        </w:rPr>
        <w:t xml:space="preserve">Epidemics</w:t>
      </w:r>
      <w:r>
        <w:t xml:space="preserve"> </w:t>
      </w:r>
      <w:r>
        <w:rPr>
          <w:b/>
          <w:bCs/>
        </w:rPr>
        <w:t xml:space="preserve">29</w:t>
      </w:r>
      <w:r>
        <w:t xml:space="preserve">, 100363.</w:t>
      </w:r>
    </w:p>
    <w:bookmarkEnd w:id="143"/>
    <w:bookmarkStart w:id="144" w:name="ref-kline2005principles"/>
    <w:p>
      <w:pPr>
        <w:pStyle w:val="Bibliography"/>
      </w:pPr>
      <w:r>
        <w:t xml:space="preserve">50.</w:t>
      </w:r>
      <w:r>
        <w:t xml:space="preserve"> </w:t>
      </w:r>
      <w:r>
        <w:t xml:space="preserve">	</w:t>
      </w:r>
      <w:r>
        <w:t xml:space="preserve">Kline RB. 2005 Principles and practice of structural equation modeling 2nd ed.</w:t>
      </w:r>
      <w:r>
        <w:t xml:space="preserve"> </w:t>
      </w:r>
      <w:r>
        <w:rPr>
          <w:i/>
          <w:iCs/>
        </w:rPr>
        <w:t xml:space="preserve">New York: Guilford</w:t>
      </w:r>
      <w:r>
        <w:t xml:space="preserve"> </w:t>
      </w:r>
      <w:r>
        <w:rPr>
          <w:b/>
          <w:bCs/>
        </w:rPr>
        <w:t xml:space="preserve">3</w:t>
      </w:r>
      <w:r>
        <w:t xml:space="preserve">.</w:t>
      </w:r>
    </w:p>
    <w:bookmarkEnd w:id="144"/>
    <w:bookmarkStart w:id="145" w:name="ref-rice2002brain"/>
    <w:p>
      <w:pPr>
        <w:pStyle w:val="Bibliography"/>
      </w:pPr>
      <w:r>
        <w:t xml:space="preserve">51.</w:t>
      </w:r>
      <w:r>
        <w:t xml:space="preserve"> </w:t>
      </w:r>
      <w:r>
        <w:t xml:space="preserve">	</w:t>
      </w:r>
      <w:r>
        <w:t xml:space="preserve">Rice M, Forman R, Chen B, Avshalumov M, Cragg S, Drew K. 2002 Brain antioxidant regulation in mammals and anoxia-tolerant reptiles: Balanced for neuroprotection and neuromodulation.</w:t>
      </w:r>
      <w:r>
        <w:t xml:space="preserve"> </w:t>
      </w:r>
      <w:r>
        <w:rPr>
          <w:i/>
          <w:iCs/>
        </w:rPr>
        <w:t xml:space="preserve">Comparative Biochemistry and Physiology Part C: Toxicology &amp; Pharmacology</w:t>
      </w:r>
      <w:r>
        <w:t xml:space="preserve"> </w:t>
      </w:r>
      <w:r>
        <w:rPr>
          <w:b/>
          <w:bCs/>
        </w:rPr>
        <w:t xml:space="preserve">133</w:t>
      </w:r>
      <w:r>
        <w:t xml:space="preserve">, 515–525.</w:t>
      </w:r>
    </w:p>
    <w:bookmarkEnd w:id="145"/>
    <w:bookmarkStart w:id="146" w:name="ref-terman2006oxidative"/>
    <w:p>
      <w:pPr>
        <w:pStyle w:val="Bibliography"/>
      </w:pPr>
      <w:r>
        <w:t xml:space="preserve">52.</w:t>
      </w:r>
      <w:r>
        <w:t xml:space="preserve"> </w:t>
      </w:r>
      <w:r>
        <w:t xml:space="preserve">	</w:t>
      </w:r>
      <w:r>
        <w:t xml:space="preserve">Terman A, Brunk UT. 2006 Oxidative stress, accumulation of biological’garbage’, and aging.</w:t>
      </w:r>
      <w:r>
        <w:t xml:space="preserve"> </w:t>
      </w:r>
      <w:r>
        <w:rPr>
          <w:i/>
          <w:iCs/>
        </w:rPr>
        <w:t xml:space="preserve">Antioxidants &amp; redox signaling</w:t>
      </w:r>
      <w:r>
        <w:t xml:space="preserve"> </w:t>
      </w:r>
      <w:r>
        <w:rPr>
          <w:b/>
          <w:bCs/>
        </w:rPr>
        <w:t xml:space="preserve">8</w:t>
      </w:r>
      <w:r>
        <w:t xml:space="preserve">, 197–204.</w:t>
      </w:r>
    </w:p>
    <w:bookmarkEnd w:id="146"/>
    <w:bookmarkStart w:id="147" w:name="ref-kawamura1991glucocorticoid"/>
    <w:p>
      <w:pPr>
        <w:pStyle w:val="Bibliography"/>
      </w:pPr>
      <w:r>
        <w:t xml:space="preserve">53.</w:t>
      </w:r>
      <w:r>
        <w:t xml:space="preserve"> </w:t>
      </w:r>
      <w:r>
        <w:t xml:space="preserve">	</w:t>
      </w:r>
      <w:r>
        <w:t xml:space="preserve">Kawamura T, Yoshioka T, Bills T, Fogo A, Ichikawa I. 1991 Glucocorticoid activates glomerular antioxidant enzymes and protects glomeruli from oxidant injuries.</w:t>
      </w:r>
      <w:r>
        <w:t xml:space="preserve"> </w:t>
      </w:r>
      <w:r>
        <w:rPr>
          <w:i/>
          <w:iCs/>
        </w:rPr>
        <w:t xml:space="preserve">Kidney international</w:t>
      </w:r>
      <w:r>
        <w:t xml:space="preserve"> </w:t>
      </w:r>
      <w:r>
        <w:rPr>
          <w:b/>
          <w:bCs/>
        </w:rPr>
        <w:t xml:space="preserve">40</w:t>
      </w:r>
      <w:r>
        <w:t xml:space="preserve">, 291–301.</w:t>
      </w:r>
    </w:p>
    <w:bookmarkEnd w:id="147"/>
    <w:bookmarkStart w:id="148" w:name="ref-mcintosh1998glucocorticoids"/>
    <w:p>
      <w:pPr>
        <w:pStyle w:val="Bibliography"/>
      </w:pPr>
      <w:r>
        <w:t xml:space="preserve">54.</w:t>
      </w:r>
      <w:r>
        <w:t xml:space="preserve"> </w:t>
      </w:r>
      <w:r>
        <w:t xml:space="preserve">	</w:t>
      </w:r>
      <w:r>
        <w:t xml:space="preserve">McIntosh LJ, Hong KE, Sapolsky RM. 1998 Glucocorticoids may alter antioxidant enzyme capacity in the brain: Baseline studies.</w:t>
      </w:r>
      <w:r>
        <w:t xml:space="preserve"> </w:t>
      </w:r>
      <w:r>
        <w:rPr>
          <w:i/>
          <w:iCs/>
        </w:rPr>
        <w:t xml:space="preserve">Brain research</w:t>
      </w:r>
      <w:r>
        <w:t xml:space="preserve"> </w:t>
      </w:r>
      <w:r>
        <w:rPr>
          <w:b/>
          <w:bCs/>
        </w:rPr>
        <w:t xml:space="preserve">791</w:t>
      </w:r>
      <w:r>
        <w:t xml:space="preserve">, 209–214.</w:t>
      </w:r>
    </w:p>
    <w:bookmarkEnd w:id="148"/>
    <w:bookmarkStart w:id="149" w:name="ref-kim2019carry"/>
    <w:p>
      <w:pPr>
        <w:pStyle w:val="Bibliography"/>
      </w:pPr>
      <w:r>
        <w:t xml:space="preserve">55.</w:t>
      </w:r>
      <w:r>
        <w:t xml:space="preserve"> </w:t>
      </w:r>
      <w:r>
        <w:t xml:space="preserve">	</w:t>
      </w:r>
      <w:r>
        <w:t xml:space="preserve">Kim S-Y, Noguera JC, Velando A. 2019 Carry-over effects of early thermal conditions on somatic and germline oxidative damages are mediated by compensatory growth in sticklebacks.</w:t>
      </w:r>
      <w:r>
        <w:t xml:space="preserve"> </w:t>
      </w:r>
      <w:r>
        <w:rPr>
          <w:i/>
          <w:iCs/>
        </w:rPr>
        <w:t xml:space="preserve">Journal of Animal Ecology</w:t>
      </w:r>
      <w:r>
        <w:t xml:space="preserve"> </w:t>
      </w:r>
      <w:r>
        <w:rPr>
          <w:b/>
          <w:bCs/>
        </w:rPr>
        <w:t xml:space="preserve">88</w:t>
      </w:r>
      <w:r>
        <w:t xml:space="preserve">, 473–483.</w:t>
      </w:r>
    </w:p>
    <w:bookmarkEnd w:id="149"/>
    <w:bookmarkStart w:id="150" w:name="ref-tang2021antioxidant"/>
    <w:p>
      <w:pPr>
        <w:pStyle w:val="Bibliography"/>
      </w:pPr>
      <w:r>
        <w:t xml:space="preserve">56.</w:t>
      </w:r>
      <w:r>
        <w:t xml:space="preserve"> </w:t>
      </w:r>
      <w:r>
        <w:t xml:space="preserve">	</w:t>
      </w:r>
      <w:r>
        <w:t xml:space="preserve">Tang Z, Chen B, Niu C. 2021 Antioxidant defense response during hibernation and arousal in chinese soft-shelled turtle pelodiscus sinensis juveniles.</w:t>
      </w:r>
      <w:r>
        <w:t xml:space="preserve"> </w:t>
      </w:r>
      <w:r>
        <w:rPr>
          <w:i/>
          <w:iCs/>
        </w:rPr>
        <w:t xml:space="preserve">Cryobiology</w:t>
      </w:r>
      <w:r>
        <w:t xml:space="preserve"> </w:t>
      </w:r>
      <w:r>
        <w:rPr>
          <w:b/>
          <w:bCs/>
        </w:rPr>
        <w:t xml:space="preserve">99</w:t>
      </w:r>
      <w:r>
        <w:t xml:space="preserve">, 46–54.</w:t>
      </w:r>
    </w:p>
    <w:bookmarkEnd w:id="150"/>
    <w:bookmarkStart w:id="151" w:name="ref-zeis2019temperature"/>
    <w:p>
      <w:pPr>
        <w:pStyle w:val="Bibliography"/>
      </w:pPr>
      <w:r>
        <w:t xml:space="preserve">57.</w:t>
      </w:r>
      <w:r>
        <w:t xml:space="preserve"> </w:t>
      </w:r>
      <w:r>
        <w:t xml:space="preserve">	</w:t>
      </w:r>
      <w:r>
        <w:t xml:space="preserve">Zeis B, Buchen I, Wacker A, Martin-Creuzburg D. 2019 Temperature-induced changes in body lipid composition affect vulnerability to oxidative stress in daphnia magna.</w:t>
      </w:r>
      <w:r>
        <w:t xml:space="preserve"> </w:t>
      </w:r>
      <w:r>
        <w:rPr>
          <w:i/>
          <w:iCs/>
        </w:rPr>
        <w:t xml:space="preserve">Comparative Biochemistry and Physiology Part B: Biochemistry and Molecular Biology</w:t>
      </w:r>
      <w:r>
        <w:t xml:space="preserve"> </w:t>
      </w:r>
      <w:r>
        <w:rPr>
          <w:b/>
          <w:bCs/>
        </w:rPr>
        <w:t xml:space="preserve">232</w:t>
      </w:r>
      <w:r>
        <w:t xml:space="preserve">, 101–107.</w:t>
      </w:r>
    </w:p>
    <w:bookmarkEnd w:id="151"/>
    <w:bookmarkStart w:id="152" w:name="ref-meunier2020olfactory"/>
    <w:p>
      <w:pPr>
        <w:pStyle w:val="Bibliography"/>
      </w:pPr>
      <w:r>
        <w:t xml:space="preserve">58.</w:t>
      </w:r>
      <w:r>
        <w:t xml:space="preserve"> </w:t>
      </w:r>
      <w:r>
        <w:t xml:space="preserve">	</w:t>
      </w:r>
      <w:r>
        <w:t xml:space="preserve">Meunier N, Raynaud A, Le Bourhis M, Grebert D, Dewaele A, Acquistapace A, Bombail V. 2020 The olfactory mucosa, first actor of olfactory detection, is sensitive to glucocorticoid hormone.</w:t>
      </w:r>
      <w:r>
        <w:t xml:space="preserve"> </w:t>
      </w:r>
      <w:r>
        <w:rPr>
          <w:i/>
          <w:iCs/>
        </w:rPr>
        <w:t xml:space="preserve">European Journal of Neuroscience</w:t>
      </w:r>
      <w:r>
        <w:t xml:space="preserve"> </w:t>
      </w:r>
      <w:r>
        <w:rPr>
          <w:b/>
          <w:bCs/>
        </w:rPr>
        <w:t xml:space="preserve">51</w:t>
      </w:r>
      <w:r>
        <w:t xml:space="preserve">, 1403–1418.</w:t>
      </w:r>
    </w:p>
    <w:bookmarkEnd w:id="152"/>
    <w:bookmarkStart w:id="153" w:name="ref-spencer2008post"/>
    <w:p>
      <w:pPr>
        <w:pStyle w:val="Bibliography"/>
      </w:pPr>
      <w:r>
        <w:t xml:space="preserve">59.</w:t>
      </w:r>
      <w:r>
        <w:t xml:space="preserve"> </w:t>
      </w:r>
      <w:r>
        <w:t xml:space="preserve">	</w:t>
      </w:r>
      <w:r>
        <w:t xml:space="preserve">Spencer K, Verhulst S. 2008 Post-natal exposure to corticosterone affects standard metabolic rate in the zebra finch (taeniopygia guttata).</w:t>
      </w:r>
      <w:r>
        <w:t xml:space="preserve"> </w:t>
      </w:r>
      <w:r>
        <w:rPr>
          <w:i/>
          <w:iCs/>
        </w:rPr>
        <w:t xml:space="preserve">General and Comparative Endocrinology</w:t>
      </w:r>
      <w:r>
        <w:t xml:space="preserve"> </w:t>
      </w:r>
      <w:r>
        <w:rPr>
          <w:b/>
          <w:bCs/>
        </w:rPr>
        <w:t xml:space="preserve">159</w:t>
      </w:r>
      <w:r>
        <w:t xml:space="preserve">, 250–256.</w:t>
      </w:r>
    </w:p>
    <w:bookmarkEnd w:id="153"/>
    <w:bookmarkStart w:id="155" w:name="ref-cossin-sevrin_effect_2022"/>
    <w:p>
      <w:pPr>
        <w:pStyle w:val="Bibliography"/>
      </w:pPr>
      <w:r>
        <w:t xml:space="preserve">60.</w:t>
      </w:r>
      <w:r>
        <w:t xml:space="preserve"> </w:t>
      </w:r>
      <w:r>
        <w:t xml:space="preserve">	</w:t>
      </w:r>
      <w:r>
        <w:t xml:space="preserve">Cossin-Sevrin N, Hsu B-Y, Marciau C, Viblanc VA, Ruuskanen S, Stier A. 2022 Effect of prenatal glucocorticoids and thyroid hormones on developmental plasticity of mitochondrial aerobic metabolism, growth and survival: An experimental test in wild great tits.</w:t>
      </w:r>
      <w:r>
        <w:t xml:space="preserve"> </w:t>
      </w:r>
      <w:r>
        <w:rPr>
          <w:i/>
          <w:iCs/>
        </w:rPr>
        <w:t xml:space="preserve">Journal of Experimental Biology</w:t>
      </w:r>
      <w:r>
        <w:t xml:space="preserve"> </w:t>
      </w:r>
      <w:r>
        <w:rPr>
          <w:b/>
          <w:bCs/>
        </w:rPr>
        <w:t xml:space="preserve">225</w:t>
      </w:r>
      <w:r>
        <w:t xml:space="preserve">, jeb243414. (doi:</w:t>
      </w:r>
      <w:hyperlink r:id="rId154">
        <w:r>
          <w:rPr>
            <w:rStyle w:val="Hyperlink"/>
          </w:rPr>
          <w:t xml:space="preserve">10.1242/jeb.243414</w:t>
        </w:r>
      </w:hyperlink>
      <w:r>
        <w:t xml:space="preserve">)</w:t>
      </w:r>
    </w:p>
    <w:bookmarkEnd w:id="155"/>
    <w:bookmarkStart w:id="156" w:name="ref-verwaijen2007relationships"/>
    <w:p>
      <w:pPr>
        <w:pStyle w:val="Bibliography"/>
      </w:pPr>
      <w:r>
        <w:t xml:space="preserve">61.</w:t>
      </w:r>
      <w:r>
        <w:t xml:space="preserve"> </w:t>
      </w:r>
      <w:r>
        <w:t xml:space="preserve">	</w:t>
      </w:r>
      <w:r>
        <w:t xml:space="preserve">Verwaijen D, Van Damme R. 2007 Relationships between chemosensory behaviour and foraging mode within lacertid lizards.</w:t>
      </w:r>
      <w:r>
        <w:t xml:space="preserve"> </w:t>
      </w:r>
      <w:r>
        <w:rPr>
          <w:i/>
          <w:iCs/>
        </w:rPr>
        <w:t xml:space="preserve">Behaviour</w:t>
      </w:r>
      <w:r>
        <w:t xml:space="preserve">, 83–99.</w:t>
      </w:r>
    </w:p>
    <w:bookmarkEnd w:id="156"/>
    <w:bookmarkStart w:id="157" w:name="ref-pass2020impact"/>
    <w:p>
      <w:pPr>
        <w:pStyle w:val="Bibliography"/>
      </w:pPr>
      <w:r>
        <w:t xml:space="preserve">62.</w:t>
      </w:r>
      <w:r>
        <w:t xml:space="preserve"> </w:t>
      </w:r>
      <w:r>
        <w:t xml:space="preserve">	</w:t>
      </w:r>
      <w:r>
        <w:t xml:space="preserve">Paß T, Aßfalg M, Tolve M, Blaess S, Rothermel M, Wiesner RJ, Ricke KM. 2020 The impact of mitochondrial dysfunction on dopaminergic neurons in the olfactory bulb and odor detection.</w:t>
      </w:r>
      <w:r>
        <w:t xml:space="preserve"> </w:t>
      </w:r>
      <w:r>
        <w:rPr>
          <w:i/>
          <w:iCs/>
        </w:rPr>
        <w:t xml:space="preserve">Molecular neurobiology</w:t>
      </w:r>
      <w:r>
        <w:t xml:space="preserve"> </w:t>
      </w:r>
      <w:r>
        <w:rPr>
          <w:b/>
          <w:bCs/>
        </w:rPr>
        <w:t xml:space="preserve">57</w:t>
      </w:r>
      <w:r>
        <w:t xml:space="preserve">, 3646–3657.</w:t>
      </w:r>
    </w:p>
    <w:bookmarkEnd w:id="157"/>
    <w:bookmarkStart w:id="158" w:name="ref-wong2010energy"/>
    <w:p>
      <w:pPr>
        <w:pStyle w:val="Bibliography"/>
      </w:pPr>
      <w:r>
        <w:t xml:space="preserve">63.</w:t>
      </w:r>
      <w:r>
        <w:t xml:space="preserve"> </w:t>
      </w:r>
      <w:r>
        <w:t xml:space="preserve">	</w:t>
      </w:r>
      <w:r>
        <w:t xml:space="preserve">Wong-Riley M. 2010 Energy metabolism of the visual system.</w:t>
      </w:r>
      <w:r>
        <w:t xml:space="preserve"> </w:t>
      </w:r>
      <w:r>
        <w:rPr>
          <w:i/>
          <w:iCs/>
        </w:rPr>
        <w:t xml:space="preserve">Eye and brain</w:t>
      </w:r>
      <w:r>
        <w:t xml:space="preserve">, 99–116.</w:t>
      </w:r>
    </w:p>
    <w:bookmarkEnd w:id="158"/>
    <w:bookmarkStart w:id="160" w:name="ref-amiel_smart_2011"/>
    <w:p>
      <w:pPr>
        <w:pStyle w:val="Bibliography"/>
      </w:pPr>
      <w:r>
        <w:t xml:space="preserve">64.</w:t>
      </w:r>
      <w:r>
        <w:t xml:space="preserve"> </w:t>
      </w:r>
      <w:r>
        <w:t xml:space="preserve">	</w:t>
      </w:r>
      <w:r>
        <w:t xml:space="preserve">Amiel JJ, Tingley R, Shine R. 2011 Smart</w:t>
      </w:r>
      <w:r>
        <w:t xml:space="preserve"> </w:t>
      </w:r>
      <w:r>
        <w:t xml:space="preserve">Moves</w:t>
      </w:r>
      <w:r>
        <w:t xml:space="preserve">:</w:t>
      </w:r>
      <w:r>
        <w:t xml:space="preserve"> </w:t>
      </w:r>
      <w:r>
        <w:t xml:space="preserve">Effects</w:t>
      </w:r>
      <w:r>
        <w:t xml:space="preserve"> </w:t>
      </w:r>
      <w:r>
        <w:t xml:space="preserve">of</w:t>
      </w:r>
      <w:r>
        <w:t xml:space="preserve"> </w:t>
      </w:r>
      <w:r>
        <w:t xml:space="preserve">Relative</w:t>
      </w:r>
      <w:r>
        <w:t xml:space="preserve"> </w:t>
      </w:r>
      <w:r>
        <w:t xml:space="preserve">Brain</w:t>
      </w:r>
      <w:r>
        <w:t xml:space="preserve"> </w:t>
      </w:r>
      <w:r>
        <w:t xml:space="preserve">Size</w:t>
      </w:r>
      <w:r>
        <w:t xml:space="preserve"> </w:t>
      </w:r>
      <w:r>
        <w:t xml:space="preserve">on</w:t>
      </w:r>
      <w:r>
        <w:t xml:space="preserve"> </w:t>
      </w:r>
      <w:r>
        <w:t xml:space="preserve">Establishment</w:t>
      </w:r>
      <w:r>
        <w:t xml:space="preserve"> </w:t>
      </w:r>
      <w:r>
        <w:t xml:space="preserve">Success</w:t>
      </w:r>
      <w:r>
        <w:t xml:space="preserve"> </w:t>
      </w:r>
      <w:r>
        <w:t xml:space="preserve">of</w:t>
      </w:r>
      <w:r>
        <w:t xml:space="preserve"> </w:t>
      </w:r>
      <w:r>
        <w:t xml:space="preserve">Invasive</w:t>
      </w:r>
      <w:r>
        <w:t xml:space="preserve"> </w:t>
      </w:r>
      <w:r>
        <w:t xml:space="preserve">Amphibians</w:t>
      </w:r>
      <w:r>
        <w:t xml:space="preserve"> </w:t>
      </w:r>
      <w:r>
        <w:t xml:space="preserve">and</w:t>
      </w:r>
      <w:r>
        <w:t xml:space="preserve"> </w:t>
      </w:r>
      <w:r>
        <w:t xml:space="preserve">Reptiles</w:t>
      </w:r>
      <w:r>
        <w:t xml:space="preserve">.</w:t>
      </w:r>
      <w:r>
        <w:t xml:space="preserve"> </w:t>
      </w:r>
      <w:r>
        <w:rPr>
          <w:i/>
          <w:iCs/>
        </w:rPr>
        <w:t xml:space="preserve">PLoS ONE</w:t>
      </w:r>
      <w:r>
        <w:t xml:space="preserve"> </w:t>
      </w:r>
      <w:r>
        <w:rPr>
          <w:b/>
          <w:bCs/>
        </w:rPr>
        <w:t xml:space="preserve">6</w:t>
      </w:r>
      <w:r>
        <w:t xml:space="preserve">, e18277. (doi:</w:t>
      </w:r>
      <w:hyperlink r:id="rId159">
        <w:r>
          <w:rPr>
            <w:rStyle w:val="Hyperlink"/>
          </w:rPr>
          <w:t xml:space="preserve">10.1371/journal.pone.0018277</w:t>
        </w:r>
      </w:hyperlink>
      <w:r>
        <w:t xml:space="preserve">)</w:t>
      </w:r>
    </w:p>
    <w:bookmarkEnd w:id="160"/>
    <w:bookmarkEnd w:id="161"/>
    <w:p>
      <w:r>
        <w:br w:type="page"/>
      </w:r>
    </w:p>
    <w:bookmarkEnd w:id="162"/>
    <w:bookmarkStart w:id="222" w:name="supplementary-material"/>
    <w:p>
      <w:pPr>
        <w:pStyle w:val="Heading1"/>
      </w:pPr>
      <w:r>
        <w:t xml:space="preserve">Supplementary Material</w:t>
      </w:r>
    </w:p>
    <w:bookmarkStart w:id="163" w:name="methods-flow-cytometry"/>
    <w:p>
      <w:pPr>
        <w:pStyle w:val="Heading4"/>
      </w:pPr>
      <w:r>
        <w:t xml:space="preserve">Methods: Flow cytometry</w:t>
      </w:r>
    </w:p>
    <w:p>
      <w:pPr>
        <w:pStyle w:val="FirstParagraph"/>
      </w:pPr>
      <w:r>
        <w:rPr>
          <w:b/>
          <w:bCs/>
        </w:rPr>
        <w:t xml:space="preserve">Brain extraction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w:t>
      </w:r>
      <w:hyperlink w:anchor="ref-wyneken2007reptilian">
        <w:r>
          <w:rPr>
            <w:rStyle w:val="Hyperlink"/>
          </w:rPr>
          <w:t xml:space="preserve">43</w:t>
        </w:r>
      </w:hyperlink>
      <w:r>
        <w:t xml:space="preserve">]</w:t>
      </w:r>
      <w:r>
        <w:t xml:space="preserve">. Both regions were transferred immediately to 1.5mL centrifuge tubes containing 100µL of 1X phosphate buffered saline (PBS).</w:t>
      </w:r>
    </w:p>
    <w:p>
      <w:pPr>
        <w:pStyle w:val="BodyText"/>
      </w:pPr>
      <w:r>
        <w:rPr>
          <w:b/>
          <w:bCs/>
        </w:rPr>
        <w:t xml:space="preserve">Homogenates</w:t>
      </w:r>
      <w: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‘washing’</w:t>
      </w:r>
      <w:r>
        <w:t xml:space="preserve">)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rPr>
          <w:b/>
          <w:bCs/>
        </w:rPr>
        <w:t xml:space="preserve">Staining fresh samples</w:t>
      </w:r>
      <w: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rPr>
          <w:b/>
          <w:bCs/>
        </w:rPr>
        <w:t xml:space="preserve">Staining cryopreserved samples</w:t>
      </w:r>
      <w:r>
        <w:t xml:space="preserve">: Assays of oxidative damage from cryopreserved samples were performed 61 weeks after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pPr>
        <w:pStyle w:val="BodyText"/>
      </w:pPr>
      <w:r>
        <w:rPr>
          <w:b/>
          <w:bCs/>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“flow cytometry standard”</w:t>
      </w:r>
      <w:r>
        <w:t xml:space="preserve">) files for each sample, then imported into FlowJo (v. 10.1) for processing.</w:t>
      </w:r>
    </w:p>
    <w:p>
      <w:pPr>
        <w:pStyle w:val="BodyText"/>
      </w:pPr>
      <w:r>
        <w:rPr>
          <w:b/>
          <w:bCs/>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w:t>
      </w:r>
      <w:r>
        <w:rPr>
          <w:vertAlign w:val="superscript"/>
        </w:rPr>
        <w:t xml:space="preserve">3</w:t>
      </w:r>
      <w:r>
        <w:t xml:space="preserve">) and actively respiring (PE and PerCP-Cy5-5 &gt; 10</w:t>
      </w:r>
      <w:r>
        <w:rPr>
          <w:vertAlign w:val="superscript"/>
        </w:rPr>
        <w:t xml:space="preserve">3</w:t>
      </w:r>
      <w:r>
        <w:t xml:space="preserve">). For the oxidative damage assay, we aimed to identify populations of cells exhibiting both DNA damage (Alexa-Fluor 488 &gt; 10</w:t>
      </w:r>
      <w:r>
        <w:rPr>
          <w:vertAlign w:val="superscript"/>
        </w:rPr>
        <w:t xml:space="preserve">3</w:t>
      </w:r>
      <w:r>
        <w:t xml:space="preserve">)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“positive”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r>
        <w:br w:type="page"/>
      </w:r>
    </w:p>
    <w:bookmarkEnd w:id="163"/>
    <w:bookmarkStart w:id="165" w:name="results-of-the-final-models"/>
    <w:p>
      <w:pPr>
        <w:pStyle w:val="Heading4"/>
      </w:pPr>
      <w:r>
        <w:t xml:space="preserve">Results of the final models</w:t>
      </w:r>
    </w:p>
    <w:p>
      <w:pPr>
        <w:pStyle w:val="FirstParagraph"/>
      </w:pPr>
      <w:r>
        <w:t xml:space="preserve">Table S1. R</w:t>
      </w:r>
      <w:r>
        <w:rPr>
          <w:vertAlign w:val="superscript"/>
        </w:rPr>
        <w:t xml:space="preserve">2</w:t>
      </w:r>
      <w:r>
        <w:t xml:space="preserve"> </w:t>
      </w:r>
      <w:r>
        <w:t xml:space="preserve">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2422"/>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r>
      <w:tr>
        <w:trPr>
          <w:trHeight w:val="54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0.576</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0.565</w:t>
            </w:r>
          </w:p>
        </w:tc>
      </w:tr>
      <w:tr>
        <w:trPr>
          <w:trHeight w:val="55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0.605</w:t>
            </w:r>
          </w:p>
        </w:tc>
      </w:tr>
      <w:tr>
        <w:trPr>
          <w:trHeight w:val="553"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0.415</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0.493</w:t>
            </w:r>
          </w:p>
        </w:tc>
      </w:tr>
      <w:tr>
        <w:trPr>
          <w:trHeight w:val="5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0.574</w:t>
            </w:r>
          </w:p>
        </w:tc>
      </w:tr>
      <w:tr>
        <w:trPr>
          <w:trHeight w:val="54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0.438</w:t>
            </w:r>
          </w:p>
        </w:tc>
      </w:tr>
    </w:tbl>
    <w:p>
      <w:r>
        <w:br w:type="page"/>
      </w:r>
    </w:p>
    <w:p>
      <w:pPr>
        <w:pStyle w:val="BodyText"/>
      </w:pPr>
      <w:r>
        <w:t xml:space="preserve">Table S2. Estimate of the contrasts between treatments for all the variables analysed, and pMCMC values testing the hypothesis that contrast is different from 0. In bold, the values that are significant at pMCMC &lt; 0.05.</w:t>
      </w:r>
    </w:p>
    <w:tbl>
      <w:tblPr>
        <w:tblStyle w:val="Table"/>
        <w:tblW w:type="pct" w:w="5000"/>
        <w:tblLayout w:type="fixed"/>
        <w:tblLook w:firstRow="0" w:lastRow="0" w:firstColumn="0" w:lastColumn="0" w:noHBand="0" w:noVBand="0" w:val="0000"/>
      </w:tblPr>
      <w:tblGrid>
        <w:gridCol w:w="7920"/>
      </w:tblGrid>
      <w:tr>
        <w:tc>
          <w:tcPr/>
          <w:bookmarkStart w:id="164" w:name="tbl-contrasts"/>
          <w:p>
            <w:pPr>
              <w:jc w:val="center"/>
            </w:pPr>
            <w:pPr>
              <w:jc w:val="start"/>
              <w:spacing w:before="200"/>
              <w:pStyle w:val="ImageCaption"/>
            </w:pPr>
            <w:r>
              <w:t xml:space="preserve">Table 1— Contrasts between prenatal conditions for mitochondrial physiology and learning.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82"/>
              <w:gridCol w:w="2422"/>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0.694</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0.692</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0.417</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0.810</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0.532</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8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0.640</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0.744</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0.519</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52"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9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0.221</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2"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r>
              <w:trPr>
                <w:trHeight w:val="593"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0.790</w:t>
                  </w:r>
                </w:p>
              </w:tc>
            </w:tr>
            <w:tr>
              <w:trPr>
                <w:trHeight w:val="54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5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2"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0.765</w:t>
                  </w:r>
                </w:p>
              </w:tc>
            </w:tr>
            <w:tr>
              <w:trPr>
                <w:trHeight w:val="54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0.625</w:t>
                  </w:r>
                </w:p>
              </w:tc>
            </w:tr>
            <w:tr>
              <w:trPr>
                <w:trHeight w:val="552"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0.718</w:t>
                  </w:r>
                </w:p>
              </w:tc>
            </w:tr>
            <w:tr>
              <w:trPr>
                <w:trHeight w:val="54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0.609</w:t>
                  </w:r>
                </w:p>
              </w:tc>
            </w:tr>
            <w:tr>
              <w:trPr>
                <w:trHeight w:val="552"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8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2"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0.685</w:t>
                  </w:r>
                </w:p>
              </w:tc>
            </w:tr>
            <w:tr>
              <w:trPr>
                <w:trHeight w:val="549"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52"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0.765</w:t>
                  </w:r>
                </w:p>
              </w:tc>
            </w:tr>
            <w:tr>
              <w:trPr>
                <w:trHeight w:val="549"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0.304</w:t>
                  </w:r>
                </w:p>
              </w:tc>
            </w:tr>
            <w:tr>
              <w:trPr>
                <w:trHeight w:val="549"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2"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r>
            <w:tr>
              <w:trPr>
                <w:trHeight w:val="54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4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49"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0.760</w:t>
                  </w:r>
                </w:p>
              </w:tc>
            </w:tr>
            <w:tr>
              <w:trPr>
                <w:trHeight w:val="552" w:hRule="auto"/>
              </w:trPr>
              body48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bookmarkEnd w:id="164"/>
        </w:tc>
      </w:tr>
    </w:tbl>
    <w:p>
      <w:pPr>
        <w:pStyle w:val="BodyText"/>
      </w:pPr>
      <w:r>
        <w:t xml:space="preserve">Contrasts were done by:</w:t>
      </w:r>
      <w:r>
        <w:br/>
      </w:r>
      <w:r>
        <w:rPr>
          <w:i/>
          <w:iCs/>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
          <w:iCs/>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
          <w:iCs/>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S3.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 , 0.044]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0.501</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0.749</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 , 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0.536</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 , 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 , 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[-0.253 , 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 , 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 , 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 , 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 , 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 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0.470</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 , 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[-0.279 , 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 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 , 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 , 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0.626</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 , 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0.716</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[-0.385 , 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0.491</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[0.067 , 0.509]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 , 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 , 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0.659</w:t>
            </w:r>
          </w:p>
        </w:tc>
      </w:tr>
      <w:tr>
        <w:trPr>
          <w:trHeight w:val="59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[-0.306 , 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r>
      <w:tr>
        <w:trPr>
          <w:trHeight w:val="593"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[-0.379 , 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0.344</w:t>
            </w:r>
          </w:p>
        </w:tc>
      </w:tr>
      <w:tr>
        <w:trPr>
          <w:trHeight w:val="589"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[0.148 , 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0.003</w:t>
            </w:r>
          </w:p>
        </w:tc>
      </w:tr>
      <w:tr>
        <w:trPr>
          <w:trHeight w:val="586"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[0.229 , 0.474]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93"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r>
      <w:tr>
        <w:trPr>
          <w:trHeight w:val="593"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 , 0.317]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r>
    </w:tbl>
    <w:p>
      <w:r>
        <w:br w:type="page"/>
      </w:r>
    </w:p>
    <w:p>
      <w:pPr>
        <w:pStyle w:val="BodyText"/>
      </w:pPr>
      <w:r>
        <w:t xml:space="preserve">Table S4.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22"/>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 0.160]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0.746</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 , 0.315]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 , 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 , 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0.423</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[-0.357 , 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0.397</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 , 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 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0.527</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 , 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0.634</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[-0.249 , 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0.700</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 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0.799</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 , 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0.341</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 , 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r>
      <w:tr>
        <w:trPr>
          <w:trHeight w:val="593"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ROS/Mit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 , 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0.789</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 , 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[-0.378 , 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[-0.331 , -0.142]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[-0.214 ,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0.025</w:t>
            </w:r>
          </w:p>
        </w:tc>
      </w:tr>
      <w:tr>
        <w:trPr>
          <w:trHeight w:val="58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[0.082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86"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[0.035 , 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0.011</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r>
      <w:tr>
        <w:trPr>
          <w:trHeight w:val="593"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 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 , 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0.636</w:t>
            </w:r>
          </w:p>
        </w:tc>
      </w:tr>
      <w:tr>
        <w:trPr>
          <w:trHeight w:val="58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[-0.394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8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[0.093 , 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[-0.259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r>
      <w:tr>
        <w:trPr>
          <w:trHeight w:val="593"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[-0.271 , 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0.481</w:t>
            </w:r>
          </w:p>
        </w:tc>
      </w:tr>
      <w:tr>
        <w:trPr>
          <w:trHeight w:val="593"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[-0.331 , 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 , 0.450]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w:t>
            </w:r>
          </w:p>
        </w:tc>
      </w:tr>
    </w:tbl>
    <w:p>
      <w:r>
        <w:br w:type="page"/>
      </w:r>
    </w:p>
    <w:bookmarkEnd w:id="165"/>
    <w:bookmarkStart w:id="166" w:name="results-of-the-sem"/>
    <w:p>
      <w:pPr>
        <w:pStyle w:val="Heading4"/>
      </w:pPr>
      <w:r>
        <w:t xml:space="preserve">Results of the SEM</w:t>
      </w:r>
    </w:p>
    <w:p>
      <w:pPr>
        <w:pStyle w:val="FirstParagraph"/>
      </w:pPr>
      <w:r>
        <w:t xml:space="preserve">Table S5. Compiled direct, indirect, and total effects of SEM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 [-0.919, 1.013]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[-0.169, 0.151]</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 [-1.113, 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0.079]</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[-0.175, 0.158]</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[-0.430, 0.475]</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[-0.639, 0.446]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 [-0.351, 0.420]</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[-0.192, 0.203]</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[-0.354, 0.406]</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 [-0.295, 0.488]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[-0.199, 0.221]</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[-0.308, 0.460]</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1.711]</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 [-0.745, 0.990]</w:t>
            </w:r>
          </w:p>
        </w:tc>
      </w:tr>
    </w:tbl>
    <w:p>
      <w:r>
        <w:br w:type="page"/>
      </w:r>
    </w:p>
    <w:p>
      <w:pPr>
        <w:pStyle w:val="BodyText"/>
      </w:pPr>
      <w:r>
        <w:t xml:space="preserve">Table S6. Compiled direct, indirect, and total effects of SEM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[-1.667, 1.402]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[-0.241, 0.293]</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 [-1.557, 1.673]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[-0.171, 0.168]</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 [-0.218, 0.256]</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[-0.628, 0.763]</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 [-0.701, 0.486]</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[-0.539, 0.368]</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[-0.306, 0.290]</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[-0.428, 0.312]</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 [-0.706, 0.260]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[-0.351, 0.350]</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[-0.525, 0.228]</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0.919 [-0.388, 2.235]</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[-1.292, 1.318]</w:t>
            </w:r>
          </w:p>
        </w:tc>
      </w:tr>
    </w:tbl>
    <w:bookmarkEnd w:id="166"/>
    <w:bookmarkStart w:id="167" w:name="results-of-preliminary-models"/>
    <w:p>
      <w:pPr>
        <w:pStyle w:val="Heading4"/>
      </w:pPr>
      <w:r>
        <w:t xml:space="preserve">Results of preliminary models</w:t>
      </w:r>
    </w:p>
    <w:p>
      <w:pPr>
        <w:pStyle w:val="FirstParagraph"/>
      </w:pPr>
      <w:r>
        <w:t xml:space="preserve">Table S7. Summary of the preliminary model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9,836.123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14,833.53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14,102.169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16,573.24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13,125.873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16,778.08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12,525.51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18,120.148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18,288.35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13,818.841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16,635.77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7,614.093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12,818.25</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Summary of the preliminary model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13,283.086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15,592.91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15,660.519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16,647.44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14,591.749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16,845.26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13,087.876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14,637.32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19,907.202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18,946.39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14,706.751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17,442.45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7,897.668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13,084.76</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S9. Summary of the preliminary model for Metabolic capacity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14,547.50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17,978.81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18,852.51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17,614.81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15,894.48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23,184.69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20,080.30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16,069.77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17,678.70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7,629.33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12,829.69</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S10. Summary of the preliminary model for Metabolic capacity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12,563.89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15,841.31</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16,458.36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15,089.66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17,883.01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11,819.49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14,347.38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18,460.34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17,390.16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16,357.31</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6,902.27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12,322.67</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S11. Summary of the preliminary model for Metabolic capacity/Mitochondrial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14,045.103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17,441.870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15,626.298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17,060.983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14,724.536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17,269.544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12,750.198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15,725.633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19,638.364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17,684.983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13,903.209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16,975.533</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5,637.524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8,090.959</w:t>
            </w:r>
          </w:p>
        </w:tc>
      </w:tr>
    </w:tbl>
    <w:p>
      <w:pPr>
        <w:pStyle w:val="BodyText"/>
      </w:pPr>
      <w:r>
        <w:t xml:space="preserve">Model formula: mean_conpotential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S12. Summary of the preliminary model for Metabolic capacity/Mitochondrial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11,120.950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15,842.44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15,804.879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16,757.72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13,833.503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17,389.96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10,316.740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13,264.36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17,734.39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14,276.371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16,425.58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7,115.268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12,778.05</w:t>
            </w:r>
          </w:p>
        </w:tc>
      </w:tr>
    </w:tbl>
    <w:p>
      <w:pPr>
        <w:pStyle w:val="BodyText"/>
      </w:pPr>
      <w:r>
        <w:t xml:space="preserve">Model formula: mean__conpotential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S13. Summary of the preliminary model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9,183.452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13,839.99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13,530.485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17,081.71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12,071.138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16,250.93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9,075.983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14,504.49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17,682.400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18,843.43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12,366.724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16,040.19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8,148.156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13,240.64</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S14. Summary of the preliminary model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12,924.858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16,808.08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15,506.343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16,644.29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14,793.854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17,634.63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12,457.252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16,377.05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19,714.436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18,764.25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14,895.369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16,658.95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7,973.152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11,975.77</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S15. Summary of the preliminary model for ROS Production/Mitochondrial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10,101.570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14,847.63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14,270.907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17,082.72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12,596.126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16,596.51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9,876.632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14,414.93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16,764.82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13,070.167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16,667.76</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7,626.653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11,717.46</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S16. Summary of the preliminary model for ROS Production/Mitochondrial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12,441.569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14,334.92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15,731.862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17,735.10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14,831.383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17,218.69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11,238.797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14,003.95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19,788.901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18,591.72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17,293.70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7,459.702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12,393.74</w:t>
            </w:r>
          </w:p>
        </w:tc>
      </w:tr>
    </w:tbl>
    <w:p>
      <w:pPr>
        <w:pStyle w:val="BodyText"/>
      </w:pPr>
      <w:r>
        <w:t xml:space="preserve">Model formula: mean_conros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S17. Summary of the preliminary model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10,661.280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15,978.35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12,993.659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16,012.60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13,481.337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17,221.81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10,928.788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15,677.56</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19,267.041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18,242.80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13,008.759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15,566.19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6,898.123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11,986.29</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S18. Summary of the preliminary model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10,680.015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14,423.90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15,369.962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17,134.80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13,710.561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16,635.05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9,866.874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12,666.63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19,923.412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18,291.42</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14,749.880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16,070.85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6,362.966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10,083.62</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S19. Summary of the preliminary model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12,692.777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15,888.78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17,576.200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17,839.19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15,225.478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16,637.83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10,917.922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13,461.11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21,618.045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19,098.56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15,315.938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16,765.68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6,726.639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10,468.91</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S20. Summary of the preliminary model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8,158.550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14,399.34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14,047.997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16,625.57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11,429.785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15,615.51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7,726.015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12,776.13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18,303.951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18,773.10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12,777.790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15,516.75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6,373.064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10,866.82</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S21. Summary of the preliminary model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23,791.003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20,209.877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22,068.222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19,072.111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17,351.107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17,845.847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22,826.971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18,151.708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29,858.398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18,195.757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33,007.599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19,448.945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43,904.242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17,643.302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17,616.180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18,622.508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22,724.319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17,974.739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5,127.505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9,994.406</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3,707.605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7,986.588</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S22. Summary of the preliminary model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17,623.709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18,427.316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15,366.664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17,567.931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14,103.264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16,211.835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15,582.935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16,776.612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18,881.619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18,052.101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23,020.086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18,794.862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33,319.202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17,462.251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13,965.569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16,393.607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16,182.964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15,811.076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2,609.428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6,614.888</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2,430.757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4,501.121</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67"/>
    <w:bookmarkStart w:id="216" w:name="final-models-diagnostics-plots"/>
    <w:p>
      <w:pPr>
        <w:pStyle w:val="Heading4"/>
      </w:pPr>
      <w:r>
        <w:t xml:space="preserve">Final models diagnostics (plots)</w:t>
      </w:r>
    </w:p>
    <w:p>
      <w:pPr>
        <w:pStyle w:val="FirstParagraph"/>
      </w:pPr>
      <w:r>
        <w:drawing>
          <wp:inline>
            <wp:extent cx="4160520" cy="5825080"/>
            <wp:effectExtent b="0" l="0" r="0" t="0"/>
            <wp:docPr descr="" title="" id="169" name="Picture"/>
            <a:graphic>
              <a:graphicData uri="http://schemas.openxmlformats.org/drawingml/2006/picture">
                <pic:pic>
                  <pic:nvPicPr>
                    <pic:cNvPr descr="./output/figures/suppl/Figure_S1.tiff" id="170" name="Picture"/>
                    <pic:cNvPicPr>
                      <a:picLocks noChangeArrowheads="1" noChangeAspect="1"/>
                    </pic:cNvPicPr>
                  </pic:nvPicPr>
                  <pic:blipFill>
                    <a:blip r:embed="rId16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p>
      <w:pPr>
        <w:pStyle w:val="BodyText"/>
      </w:pPr>
      <w:r>
        <w:drawing>
          <wp:inline>
            <wp:extent cx="4160520" cy="5825080"/>
            <wp:effectExtent b="0" l="0" r="0" t="0"/>
            <wp:docPr descr="" title="" id="172" name="Picture"/>
            <a:graphic>
              <a:graphicData uri="http://schemas.openxmlformats.org/drawingml/2006/picture">
                <pic:pic>
                  <pic:nvPicPr>
                    <pic:cNvPr descr="./output/figures/suppl/Figure_S2.tiff" id="173" name="Picture"/>
                    <pic:cNvPicPr>
                      <a:picLocks noChangeArrowheads="1" noChangeAspect="1"/>
                    </pic:cNvPicPr>
                  </pic:nvPicPr>
                  <pic:blipFill>
                    <a:blip r:embed="rId17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p>
      <w:pPr>
        <w:pStyle w:val="BodyText"/>
      </w:pPr>
      <w:r>
        <w:drawing>
          <wp:inline>
            <wp:extent cx="4160520" cy="5825080"/>
            <wp:effectExtent b="0" l="0" r="0" t="0"/>
            <wp:docPr descr="" title="" id="175" name="Picture"/>
            <a:graphic>
              <a:graphicData uri="http://schemas.openxmlformats.org/drawingml/2006/picture">
                <pic:pic>
                  <pic:nvPicPr>
                    <pic:cNvPr descr="./output/figures/suppl/Figure_S3.tiff" id="176" name="Picture"/>
                    <pic:cNvPicPr>
                      <a:picLocks noChangeArrowheads="1" noChangeAspect="1"/>
                    </pic:cNvPicPr>
                  </pic:nvPicPr>
                  <pic:blipFill>
                    <a:blip r:embed="rId17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S3. Posterior predictive checks for the model of Metabolic capacity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78" name="Picture"/>
            <a:graphic>
              <a:graphicData uri="http://schemas.openxmlformats.org/drawingml/2006/picture">
                <pic:pic>
                  <pic:nvPicPr>
                    <pic:cNvPr descr="./output/figures/suppl/Figure_S4.tiff" id="179" name="Picture"/>
                    <pic:cNvPicPr>
                      <a:picLocks noChangeArrowheads="1" noChangeAspect="1"/>
                    </pic:cNvPicPr>
                  </pic:nvPicPr>
                  <pic:blipFill>
                    <a:blip r:embed="rId17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S4. Posterior predictive checks for the model of Metabolic capacity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1" name="Picture"/>
            <a:graphic>
              <a:graphicData uri="http://schemas.openxmlformats.org/drawingml/2006/picture">
                <pic:pic>
                  <pic:nvPicPr>
                    <pic:cNvPr descr="./output/figures/suppl/Figure_S5.tiff" id="182" name="Picture"/>
                    <pic:cNvPicPr>
                      <a:picLocks noChangeArrowheads="1" noChangeAspect="1"/>
                    </pic:cNvPicPr>
                  </pic:nvPicPr>
                  <pic:blipFill>
                    <a:blip r:embed="rId18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S5. Posterior predictive checks for the model of Metabolic capacity/Mitochondrial density in Olfactory Bulbs.</w:t>
      </w:r>
      <w:r>
        <w:t xml:space="preserve"> </w:t>
      </w:r>
      <w:r>
        <w:t xml:space="preserve">Formula: mean_potential ~ cort * temp + (1|clutch)</w:t>
      </w:r>
    </w:p>
    <w:p>
      <w:r>
        <w:br w:type="page"/>
      </w:r>
    </w:p>
    <w:p>
      <w:pPr>
        <w:pStyle w:val="BodyText"/>
      </w:pPr>
      <w:r>
        <w:drawing>
          <wp:inline>
            <wp:extent cx="4160520" cy="5825080"/>
            <wp:effectExtent b="0" l="0" r="0" t="0"/>
            <wp:docPr descr="" title="" id="184" name="Picture"/>
            <a:graphic>
              <a:graphicData uri="http://schemas.openxmlformats.org/drawingml/2006/picture">
                <pic:pic>
                  <pic:nvPicPr>
                    <pic:cNvPr descr="./output/figures/suppl/Figure_S6.tiff" id="185" name="Picture"/>
                    <pic:cNvPicPr>
                      <a:picLocks noChangeArrowheads="1" noChangeAspect="1"/>
                    </pic:cNvPicPr>
                  </pic:nvPicPr>
                  <pic:blipFill>
                    <a:blip r:embed="rId18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S6. Posterior predictive checks for the model of Metabolic capacity/Mitochondrial density in Optic Tecta.</w:t>
      </w:r>
      <w:r>
        <w:t xml:space="preserve"> </w:t>
      </w:r>
      <w:r>
        <w:t xml:space="preserve">Formula: mean_potential ~ cort * temp + (1|clutch)</w:t>
      </w:r>
    </w:p>
    <w:p>
      <w:r>
        <w:br w:type="page"/>
      </w:r>
    </w:p>
    <w:p>
      <w:pPr>
        <w:pStyle w:val="BodyText"/>
      </w:pPr>
      <w:r>
        <w:drawing>
          <wp:inline>
            <wp:extent cx="4160520" cy="5825080"/>
            <wp:effectExtent b="0" l="0" r="0" t="0"/>
            <wp:docPr descr="" title="" id="187" name="Picture"/>
            <a:graphic>
              <a:graphicData uri="http://schemas.openxmlformats.org/drawingml/2006/picture">
                <pic:pic>
                  <pic:nvPicPr>
                    <pic:cNvPr descr="./output/figures/suppl/Figure_S7.tiff" id="188" name="Picture"/>
                    <pic:cNvPicPr>
                      <a:picLocks noChangeArrowheads="1" noChangeAspect="1"/>
                    </pic:cNvPicPr>
                  </pic:nvPicPr>
                  <pic:blipFill>
                    <a:blip r:embed="rId186"/>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S7. Posterior predictive checks for the model of ROS Production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0" name="Picture"/>
            <a:graphic>
              <a:graphicData uri="http://schemas.openxmlformats.org/drawingml/2006/picture">
                <pic:pic>
                  <pic:nvPicPr>
                    <pic:cNvPr descr="./output/figures/suppl/Figure_S8.tiff" id="191" name="Picture"/>
                    <pic:cNvPicPr>
                      <a:picLocks noChangeArrowheads="1" noChangeAspect="1"/>
                    </pic:cNvPicPr>
                  </pic:nvPicPr>
                  <pic:blipFill>
                    <a:blip r:embed="rId189"/>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S8. Posterior predictive checks for the model of ROS Production in Optic Tecta.</w:t>
      </w:r>
      <w:r>
        <w:t xml:space="preserve"> </w:t>
      </w:r>
      <w:r>
        <w:t xml:space="preserve">Formula: mean_ros ~ cort * temp + (1|clutch)</w:t>
      </w:r>
    </w:p>
    <w:p>
      <w:r>
        <w:br w:type="page"/>
      </w:r>
    </w:p>
    <w:p>
      <w:pPr>
        <w:pStyle w:val="BodyText"/>
      </w:pPr>
      <w:r>
        <w:drawing>
          <wp:inline>
            <wp:extent cx="4160520" cy="5825080"/>
            <wp:effectExtent b="0" l="0" r="0" t="0"/>
            <wp:docPr descr="" title="" id="193" name="Picture"/>
            <a:graphic>
              <a:graphicData uri="http://schemas.openxmlformats.org/drawingml/2006/picture">
                <pic:pic>
                  <pic:nvPicPr>
                    <pic:cNvPr descr="./output/figures/suppl/Figure_S9.tiff" id="194" name="Picture"/>
                    <pic:cNvPicPr>
                      <a:picLocks noChangeArrowheads="1" noChangeAspect="1"/>
                    </pic:cNvPicPr>
                  </pic:nvPicPr>
                  <pic:blipFill>
                    <a:blip r:embed="rId192"/>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S9. Posterior predictive checks for the model of ROS Production/Mitochondrial density in Olfactory Bulbs.</w:t>
      </w:r>
      <w:r>
        <w:t xml:space="preserve"> </w:t>
      </w:r>
      <w:r>
        <w:t xml:space="preserve">Formula: mean_ros ~ cort * temp + (1|clutch)</w:t>
      </w:r>
    </w:p>
    <w:p>
      <w:r>
        <w:br w:type="page"/>
      </w:r>
    </w:p>
    <w:p>
      <w:pPr>
        <w:pStyle w:val="BodyText"/>
      </w:pPr>
      <w:r>
        <w:drawing>
          <wp:inline>
            <wp:extent cx="4160520" cy="5825080"/>
            <wp:effectExtent b="0" l="0" r="0" t="0"/>
            <wp:docPr descr="" title="" id="196" name="Picture"/>
            <a:graphic>
              <a:graphicData uri="http://schemas.openxmlformats.org/drawingml/2006/picture">
                <pic:pic>
                  <pic:nvPicPr>
                    <pic:cNvPr descr="./output/figures/suppl/Figure_S10.tiff" id="197" name="Picture"/>
                    <pic:cNvPicPr>
                      <a:picLocks noChangeArrowheads="1" noChangeAspect="1"/>
                    </pic:cNvPicPr>
                  </pic:nvPicPr>
                  <pic:blipFill>
                    <a:blip r:embed="rId195"/>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S10. Posterior predictive checks for the model of ROS Production/Mitochondrial density in Optic Tecta.</w:t>
      </w:r>
      <w:r>
        <w:t xml:space="preserve"> </w:t>
      </w:r>
      <w:r>
        <w:t xml:space="preserve">Formula: mean_ros ~ cort * temp + (1|clutch)</w:t>
      </w:r>
    </w:p>
    <w:p>
      <w:r>
        <w:br w:type="page"/>
      </w:r>
    </w:p>
    <w:p>
      <w:pPr>
        <w:pStyle w:val="BodyText"/>
      </w:pPr>
      <w:r>
        <w:drawing>
          <wp:inline>
            <wp:extent cx="4160520" cy="5825080"/>
            <wp:effectExtent b="0" l="0" r="0" t="0"/>
            <wp:docPr descr="" title="" id="199" name="Picture"/>
            <a:graphic>
              <a:graphicData uri="http://schemas.openxmlformats.org/drawingml/2006/picture">
                <pic:pic>
                  <pic:nvPicPr>
                    <pic:cNvPr descr="./output/figures/suppl/Figure_S11.tiff" id="200" name="Picture"/>
                    <pic:cNvPicPr>
                      <a:picLocks noChangeArrowheads="1" noChangeAspect="1"/>
                    </pic:cNvPicPr>
                  </pic:nvPicPr>
                  <pic:blipFill>
                    <a:blip r:embed="rId198"/>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S11. Posterior predictive checks for the model of DNA Damage in Olfactory Bulbs.</w:t>
      </w:r>
      <w:r>
        <w:t xml:space="preserve"> </w:t>
      </w:r>
      <w:r>
        <w:t xml:space="preserve">Formula: mean_dnadamage ~ cort * temp + age_euthanasia + sex + (1|clutch)</w:t>
      </w:r>
    </w:p>
    <w:p>
      <w:r>
        <w:br w:type="page"/>
      </w:r>
    </w:p>
    <w:p>
      <w:pPr>
        <w:pStyle w:val="BodyText"/>
      </w:pPr>
      <w:r>
        <w:drawing>
          <wp:inline>
            <wp:extent cx="4160520" cy="5825080"/>
            <wp:effectExtent b="0" l="0" r="0" t="0"/>
            <wp:docPr descr="" title="" id="202" name="Picture"/>
            <a:graphic>
              <a:graphicData uri="http://schemas.openxmlformats.org/drawingml/2006/picture">
                <pic:pic>
                  <pic:nvPicPr>
                    <pic:cNvPr descr="./output/figures/suppl/Figure_S12.tiff" id="203" name="Picture"/>
                    <pic:cNvPicPr>
                      <a:picLocks noChangeArrowheads="1" noChangeAspect="1"/>
                    </pic:cNvPicPr>
                  </pic:nvPicPr>
                  <pic:blipFill>
                    <a:blip r:embed="rId201"/>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S12. Posterior predictive checks for the model of DNA Damage in Optic Tecta.</w:t>
      </w:r>
      <w:r>
        <w:t xml:space="preserve"> </w:t>
      </w:r>
      <w:r>
        <w:t xml:space="preserve">Formula: mean_dnadamage ~ cort * temp + sex + (1|clutch)</w:t>
      </w:r>
    </w:p>
    <w:p>
      <w:r>
        <w:br w:type="page"/>
      </w:r>
    </w:p>
    <w:p>
      <w:pPr>
        <w:pStyle w:val="BodyText"/>
      </w:pPr>
      <w:r>
        <w:drawing>
          <wp:inline>
            <wp:extent cx="4160520" cy="5825080"/>
            <wp:effectExtent b="0" l="0" r="0" t="0"/>
            <wp:docPr descr="" title="" id="205" name="Picture"/>
            <a:graphic>
              <a:graphicData uri="http://schemas.openxmlformats.org/drawingml/2006/picture">
                <pic:pic>
                  <pic:nvPicPr>
                    <pic:cNvPr descr="./output/figures/suppl/Figure_S13.tiff" id="206" name="Picture"/>
                    <pic:cNvPicPr>
                      <a:picLocks noChangeArrowheads="1" noChangeAspect="1"/>
                    </pic:cNvPicPr>
                  </pic:nvPicPr>
                  <pic:blipFill>
                    <a:blip r:embed="rId204"/>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S13. Posterior predictive checks for the model of Lipid Peroxidation in Olfactory Bulbs.</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08" name="Picture"/>
            <a:graphic>
              <a:graphicData uri="http://schemas.openxmlformats.org/drawingml/2006/picture">
                <pic:pic>
                  <pic:nvPicPr>
                    <pic:cNvPr descr="./output/figures/suppl/Figure_S14.tiff" id="209" name="Picture"/>
                    <pic:cNvPicPr>
                      <a:picLocks noChangeArrowheads="1" noChangeAspect="1"/>
                    </pic:cNvPicPr>
                  </pic:nvPicPr>
                  <pic:blipFill>
                    <a:blip r:embed="rId207"/>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S14. Posterior predictive checks for the model of Lipid Peroxidation in Optic Tecta.</w:t>
      </w:r>
      <w:r>
        <w:t xml:space="preserve"> </w:t>
      </w:r>
      <w:r>
        <w:t xml:space="preserve">Formula: mean_peroxidation ~ cort * temp + age_euthanasia + (1|clutch)</w:t>
      </w:r>
    </w:p>
    <w:p>
      <w:r>
        <w:br w:type="page"/>
      </w:r>
    </w:p>
    <w:p>
      <w:pPr>
        <w:pStyle w:val="BodyText"/>
      </w:pPr>
      <w:r>
        <w:drawing>
          <wp:inline>
            <wp:extent cx="4160520" cy="5825080"/>
            <wp:effectExtent b="0" l="0" r="0" t="0"/>
            <wp:docPr descr="" title="" id="211" name="Picture"/>
            <a:graphic>
              <a:graphicData uri="http://schemas.openxmlformats.org/drawingml/2006/picture">
                <pic:pic>
                  <pic:nvPicPr>
                    <pic:cNvPr descr="./output/figures/suppl/Figure_S15.tiff" id="212" name="Picture"/>
                    <pic:cNvPicPr>
                      <a:picLocks noChangeArrowheads="1" noChangeAspect="1"/>
                    </pic:cNvPicPr>
                  </pic:nvPicPr>
                  <pic:blipFill>
                    <a:blip r:embed="rId210"/>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S15. Posterior predictive checks for the model of Detection Latency (t_D) in Chemical trials.</w:t>
      </w:r>
      <w:r>
        <w:t xml:space="preserve"> </w:t>
      </w:r>
      <w:r>
        <w:t xml:space="preserve">Formula: t_D~ cort * temp + motivation + cort:motivation + (1|clutch) + (1|lizard_id)</w:t>
      </w:r>
    </w:p>
    <w:p>
      <w:r>
        <w:br w:type="page"/>
      </w:r>
    </w:p>
    <w:p>
      <w:pPr>
        <w:pStyle w:val="BodyText"/>
      </w:pPr>
      <w:r>
        <w:drawing>
          <wp:inline>
            <wp:extent cx="4160520" cy="5825080"/>
            <wp:effectExtent b="0" l="0" r="0" t="0"/>
            <wp:docPr descr="" title="" id="214" name="Picture"/>
            <a:graphic>
              <a:graphicData uri="http://schemas.openxmlformats.org/drawingml/2006/picture">
                <pic:pic>
                  <pic:nvPicPr>
                    <pic:cNvPr descr="./output/figures/suppl/Figure_S16.tiff" id="215" name="Picture"/>
                    <pic:cNvPicPr>
                      <a:picLocks noChangeArrowheads="1" noChangeAspect="1"/>
                    </pic:cNvPicPr>
                  </pic:nvPicPr>
                  <pic:blipFill>
                    <a:blip r:embed="rId213"/>
                    <a:stretch>
                      <a:fillRect/>
                    </a:stretch>
                  </pic:blipFill>
                  <pic:spPr bwMode="auto">
                    <a:xfrm>
                      <a:off x="0" y="0"/>
                      <a:ext cx="4160520" cy="5825080"/>
                    </a:xfrm>
                    <a:prstGeom prst="rect">
                      <a:avLst/>
                    </a:prstGeom>
                    <a:noFill/>
                    <a:ln w="9525">
                      <a:noFill/>
                      <a:headEnd/>
                      <a:tailEnd/>
                    </a:ln>
                  </pic:spPr>
                </pic:pic>
              </a:graphicData>
            </a:graphic>
          </wp:inline>
        </w:drawing>
      </w:r>
    </w:p>
    <w:p>
      <w:pPr>
        <w:pStyle w:val="BodyText"/>
      </w:pPr>
      <w:r>
        <w:t xml:space="preserve">Fig S16. Posterior predictive checks for the model of Detection Latency (t_D) in Visual trials.</w:t>
      </w:r>
      <w:r>
        <w:t xml:space="preserve"> </w:t>
      </w:r>
      <w:r>
        <w:t xml:space="preserve">Formula: t_D~ cort * temp + (1|clutch) + (1|lizard_id)</w:t>
      </w:r>
    </w:p>
    <w:p>
      <w:r>
        <w:br w:type="page"/>
      </w:r>
    </w:p>
    <w:bookmarkEnd w:id="216"/>
    <w:bookmarkStart w:id="221"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pPr>
        <w:pStyle w:val="BodyText"/>
      </w:pPr>
      <w:r>
        <w:t xml:space="preserve">We followed the procedures outlined above (see</w:t>
      </w:r>
      <w:r>
        <w:t xml:space="preserve"> </w:t>
      </w:r>
      <w:r>
        <w:rPr>
          <w:i/>
          <w:iCs/>
        </w:rPr>
        <w:t xml:space="preserve">Methods: Flow cytometry</w:t>
      </w:r>
      <w:r>
        <w:t xml:space="preserve">) for euthanasia and homogenization. Cells were also fixed and permeabilized as described previously before staining them (see</w:t>
      </w:r>
      <w:r>
        <w:t xml:space="preserve"> </w:t>
      </w:r>
      <w:r>
        <w:rPr>
          <w:i/>
          <w:iCs/>
        </w:rPr>
        <w:t xml:space="preserve">Methods: Flow cytometry</w:t>
      </w:r>
      <w:r>
        <w:t xml:space="preserve">).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pPr>
        <w:pStyle w:val="BodyText"/>
      </w:pPr>
      <w: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type="pct" w:w="5000"/>
        <w:tblLayout w:type="fixed"/>
        <w:tblLook w:firstRow="0" w:lastRow="0" w:firstColumn="0" w:lastColumn="0" w:noHBand="0" w:noVBand="0" w:val="0000"/>
      </w:tblPr>
      <w:tblGrid>
        <w:gridCol w:w="7920"/>
      </w:tblGrid>
      <w:tr>
        <w:tc>
          <w:tcPr/>
          <w:bookmarkStart w:id="220" w:name="fig-S13"/>
          <w:p>
            <w:pPr>
              <w:pStyle w:val="Compact"/>
              <w:jc w:val="center"/>
            </w:pPr>
            <w:r>
              <w:drawing>
                <wp:inline>
                  <wp:extent cx="5399532" cy="1799844"/>
                  <wp:effectExtent b="0" l="0" r="0" t="0"/>
                  <wp:docPr descr="" title="" id="218" name="Picture"/>
                  <a:graphic>
                    <a:graphicData uri="http://schemas.openxmlformats.org/drawingml/2006/picture">
                      <pic:pic>
                        <pic:nvPicPr>
                          <pic:cNvPr descr="./output/figures/suppl/Figure_SX13.tiff" id="219" name="Picture"/>
                          <pic:cNvPicPr>
                            <a:picLocks noChangeArrowheads="1" noChangeAspect="1"/>
                          </pic:cNvPicPr>
                        </pic:nvPicPr>
                        <pic:blipFill>
                          <a:blip r:embed="rId217"/>
                          <a:stretch>
                            <a:fillRect/>
                          </a:stretch>
                        </pic:blipFill>
                        <pic:spPr bwMode="auto">
                          <a:xfrm>
                            <a:off x="0" y="0"/>
                            <a:ext cx="5399532" cy="1799844"/>
                          </a:xfrm>
                          <a:prstGeom prst="rect">
                            <a:avLst/>
                          </a:prstGeom>
                          <a:noFill/>
                          <a:ln w="9525">
                            <a:noFill/>
                            <a:headEnd/>
                            <a:tailEnd/>
                          </a:ln>
                        </pic:spPr>
                      </pic:pic>
                    </a:graphicData>
                  </a:graphic>
                </wp:inline>
              </w:drawing>
            </w:r>
          </w:p>
          <w:p>
            <w:pPr>
              <w:jc w:val="center"/>
            </w:pPr>
            <w:pPr>
              <w:jc w:val="start"/>
              <w:spacing w:before="200"/>
              <w:pStyle w:val="ImageCaption"/>
            </w:pPr>
            <w:r>
              <w:t xml:space="preserve">Fig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bookmarkEnd w:id="220"/>
        </w:tc>
      </w:tr>
    </w:tbl>
    <w:p>
      <w:pPr>
        <w:pStyle w:val="BodyText"/>
      </w:pPr>
      <w:r>
        <w:t xml:space="preserve">Figure S17.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
          <w:bCs/>
        </w:rPr>
        <w:t xml:space="preserve">REFERENCES</w:t>
      </w:r>
    </w:p>
    <w:p>
      <w:pPr>
        <w:pStyle w:val="BodyText"/>
      </w:pPr>
      <w:r>
        <w:t xml:space="preserve">Farrow LF, Andronicos NM, McDonald PG, Hamlin AS. 2021. Quantitative determination of neuronal size and density using flow cytometry.</w:t>
      </w:r>
      <w:r>
        <w:t xml:space="preserve"> </w:t>
      </w:r>
      <w:r>
        <w:rPr>
          <w:i/>
          <w:iCs/>
        </w:rPr>
        <w:t xml:space="preserve">Journal of Neuroscience Methods</w:t>
      </w:r>
      <w:r>
        <w:t xml:space="preserve">,</w:t>
      </w:r>
      <w:r>
        <w:t xml:space="preserve"> </w:t>
      </w:r>
      <w:r>
        <w:rPr>
          <w:b/>
          <w:bCs/>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
          <w:iCs/>
        </w:rPr>
        <w:t xml:space="preserve">Integrative and Comparative Biology</w:t>
      </w:r>
      <w:r>
        <w:t xml:space="preserve">,</w:t>
      </w:r>
      <w:r>
        <w:t xml:space="preserve"> </w:t>
      </w:r>
      <w:r>
        <w:rPr>
          <w:b/>
          <w:bCs/>
        </w:rPr>
        <w:t xml:space="preserve">63(1)</w:t>
      </w:r>
      <w:r>
        <w:t xml:space="preserve">, 223-237.</w:t>
      </w:r>
    </w:p>
    <w:p>
      <w:r>
        <w:br w:type="page"/>
      </w:r>
    </w:p>
    <w:bookmarkEnd w:id="221"/>
    <w:bookmarkEnd w:id="222"/>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6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410006"/>
    <w:rsid w:val="004A62D0"/>
    <w:rsid w:val="0054629D"/>
    <w:rsid w:val="005F40FF"/>
    <w:rsid w:val="00956185"/>
    <w:rsid w:val="00AC3FBF"/>
    <w:rsid w:val="00BE6B2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68" Target="media/rId168.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171" Target="media/rId171.tiff" /><Relationship Type="http://schemas.openxmlformats.org/officeDocument/2006/relationships/image" Id="rId174" Target="media/rId174.tiff" /><Relationship Type="http://schemas.openxmlformats.org/officeDocument/2006/relationships/image" Id="rId177" Target="media/rId177.tiff" /><Relationship Type="http://schemas.openxmlformats.org/officeDocument/2006/relationships/image" Id="rId180" Target="media/rId180.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217" Target="media/rId217.tiff" /><Relationship Type="http://schemas.openxmlformats.org/officeDocument/2006/relationships/image" Id="rId46" Target="media/rId46.tiff" /><Relationship Type="http://schemas.openxmlformats.org/officeDocument/2006/relationships/image" Id="rId50" Target="media/rId50.tiff" /><Relationship Type="http://schemas.openxmlformats.org/officeDocument/2006/relationships/image" Id="rId41" Target="media/rId41.tiff" /><Relationship Type="http://schemas.openxmlformats.org/officeDocument/2006/relationships/image" Id="rId32" Target="media/rId32.tiff" /><Relationship Type="http://schemas.openxmlformats.org/officeDocument/2006/relationships/image" Id="rId36" Target="media/rId36.tiff" /><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2"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5" Target="https://doi.org/10.1016/j.neubiorev.2022.104664" TargetMode="External" /><Relationship Type="http://schemas.openxmlformats.org/officeDocument/2006/relationships/hyperlink" Id="rId111" Target="https://doi.org/10.1016/j.neulet.2010.11.006" TargetMode="External" /><Relationship Type="http://schemas.openxmlformats.org/officeDocument/2006/relationships/hyperlink" Id="rId99" Target="https://doi.org/10.1016/j.yfrne.2018.01.001" TargetMode="External" /><Relationship Type="http://schemas.openxmlformats.org/officeDocument/2006/relationships/hyperlink" Id="rId109" Target="https://doi.org/10.1038/35041687" TargetMode="External" /><Relationship Type="http://schemas.openxmlformats.org/officeDocument/2006/relationships/hyperlink" Id="rId103" Target="https://doi.org/10.1038/s41586-021-03497-0" TargetMode="External" /><Relationship Type="http://schemas.openxmlformats.org/officeDocument/2006/relationships/hyperlink" Id="rId101" Target="https://doi.org/10.1073/pnas.050583697" TargetMode="External" /><Relationship Type="http://schemas.openxmlformats.org/officeDocument/2006/relationships/hyperlink" Id="rId95" Target="https://doi.org/10.1073/pnas.0812671106" TargetMode="External" /><Relationship Type="http://schemas.openxmlformats.org/officeDocument/2006/relationships/hyperlink" Id="rId125" Target="https://doi.org/10.1073/pnas.1311310110" TargetMode="External" /><Relationship Type="http://schemas.openxmlformats.org/officeDocument/2006/relationships/hyperlink" Id="rId97" Target="https://doi.org/10.1073/pnas.1321881111" TargetMode="External" /><Relationship Type="http://schemas.openxmlformats.org/officeDocument/2006/relationships/hyperlink" Id="rId107" Target="https://doi.org/10.1098/rsbl.2010.0556" TargetMode="External" /><Relationship Type="http://schemas.openxmlformats.org/officeDocument/2006/relationships/hyperlink" Id="rId121" Target="https://doi.org/10.1098/rspb.2011.1913" TargetMode="External" /><Relationship Type="http://schemas.openxmlformats.org/officeDocument/2006/relationships/hyperlink" Id="rId71" Target="https://doi.org/10.1146/annurev.ecolsys.35.112202.130152" TargetMode="External" /><Relationship Type="http://schemas.openxmlformats.org/officeDocument/2006/relationships/hyperlink" Id="rId154" Target="https://doi.org/10.1242/jeb.243414" TargetMode="External" /><Relationship Type="http://schemas.openxmlformats.org/officeDocument/2006/relationships/hyperlink" Id="rId159" Target="https://doi.org/10.1371/journal.pone.0018277" TargetMode="External" /><Relationship Type="http://schemas.openxmlformats.org/officeDocument/2006/relationships/hyperlink" Id="rId130" Target="https://doi.org/10.2307/1564223" TargetMode="External" /><Relationship Type="http://schemas.openxmlformats.org/officeDocument/2006/relationships/hyperlink" Id="rId113"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39" Target="https://mc-stan.org/" TargetMode="External" /><Relationship Type="http://schemas.openxmlformats.org/officeDocument/2006/relationships/hyperlink" Id="rId14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dcterms:created xsi:type="dcterms:W3CDTF">2025-09-06T01:09:24Z</dcterms:created>
  <dcterms:modified xsi:type="dcterms:W3CDTF">2025-09-06T01:09:24Z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